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9E" w:rsidRPr="00380EF2" w:rsidRDefault="0003489E" w:rsidP="00380EF2">
      <w:pPr>
        <w:rPr>
          <w:sz w:val="2"/>
          <w:szCs w:val="2"/>
        </w:rPr>
      </w:pPr>
      <w:bookmarkStart w:id="0" w:name="_GoBack"/>
      <w:bookmarkEnd w:id="0"/>
    </w:p>
    <w:tbl>
      <w:tblPr>
        <w:tblW w:w="10206" w:type="dxa"/>
        <w:jc w:val="center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9"/>
        <w:gridCol w:w="5501"/>
        <w:gridCol w:w="149"/>
        <w:gridCol w:w="876"/>
        <w:gridCol w:w="2251"/>
      </w:tblGrid>
      <w:tr w:rsidR="00311F53" w:rsidRPr="00A25AF7" w:rsidTr="00380EF2">
        <w:trPr>
          <w:trHeight w:val="468"/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</w:tcPr>
          <w:p w:rsidR="00E32857" w:rsidRPr="00E32857" w:rsidRDefault="00E32857" w:rsidP="00E32857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24"/>
                <w:szCs w:val="24"/>
              </w:rPr>
            </w:pPr>
            <w:r w:rsidRPr="00E32857">
              <w:rPr>
                <w:rFonts w:ascii="Bliss Pro" w:hAnsi="Bliss Pro"/>
                <w:b/>
                <w:sz w:val="24"/>
                <w:szCs w:val="24"/>
              </w:rPr>
              <w:t>Ключевой информационный документ</w:t>
            </w:r>
          </w:p>
          <w:p w:rsidR="00311F53" w:rsidRPr="00311F53" w:rsidRDefault="00E32857" w:rsidP="00E32857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24"/>
                <w:szCs w:val="24"/>
              </w:rPr>
            </w:pPr>
            <w:r w:rsidRPr="00E32857">
              <w:rPr>
                <w:rFonts w:ascii="Bliss Pro" w:hAnsi="Bliss Pro"/>
                <w:b/>
                <w:sz w:val="24"/>
                <w:szCs w:val="24"/>
              </w:rPr>
              <w:t>об условиях дог</w:t>
            </w:r>
            <w:r>
              <w:rPr>
                <w:rFonts w:ascii="Bliss Pro" w:hAnsi="Bliss Pro"/>
                <w:b/>
                <w:sz w:val="24"/>
                <w:szCs w:val="24"/>
              </w:rPr>
              <w:t>овора добровольного страхования</w:t>
            </w:r>
          </w:p>
        </w:tc>
        <w:tc>
          <w:tcPr>
            <w:tcW w:w="429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1F53" w:rsidRDefault="00311F53" w:rsidP="004B74F2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Правила страхования</w:t>
            </w:r>
          </w:p>
          <w:p w:rsidR="00311F53" w:rsidRDefault="00311F53" w:rsidP="004B74F2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на сайте Страховщика</w:t>
            </w:r>
          </w:p>
          <w:p w:rsidR="00311F53" w:rsidRPr="00A25AF7" w:rsidRDefault="00F451F7" w:rsidP="00311F53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59C772" wp14:editId="7245377A">
                  <wp:extent cx="12192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F53" w:rsidRPr="00A25AF7" w:rsidTr="00380EF2">
        <w:trPr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11F53" w:rsidRPr="00A25AF7" w:rsidRDefault="00477257" w:rsidP="00A25AF7">
            <w:pPr>
              <w:pStyle w:val="ConsPlusNormal"/>
              <w:contextualSpacing/>
              <w:jc w:val="center"/>
              <w:rPr>
                <w:rFonts w:ascii="Bliss Pro" w:hAnsi="Bliss Pro"/>
                <w:bCs/>
                <w:sz w:val="16"/>
                <w:szCs w:val="16"/>
              </w:rPr>
            </w:pPr>
            <w:r>
              <w:rPr>
                <w:rFonts w:ascii="Bliss Pro" w:hAnsi="Bliss Pro"/>
                <w:bCs/>
                <w:szCs w:val="20"/>
              </w:rPr>
              <w:t>недвижимого имущества</w:t>
            </w:r>
          </w:p>
        </w:tc>
        <w:tc>
          <w:tcPr>
            <w:tcW w:w="429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380EF2">
        <w:trPr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A25AF7">
            <w:pPr>
              <w:pStyle w:val="ConsPlusNormal"/>
              <w:contextualSpacing/>
              <w:jc w:val="left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Подготовлен</w:t>
            </w:r>
            <w:r>
              <w:rPr>
                <w:rFonts w:ascii="Bliss Pro" w:hAnsi="Bliss Pro"/>
                <w:sz w:val="16"/>
                <w:szCs w:val="16"/>
              </w:rPr>
              <w:br/>
            </w:r>
            <w:r w:rsidRPr="00A25AF7">
              <w:rPr>
                <w:rFonts w:ascii="Bliss Pro" w:hAnsi="Bliss Pro"/>
                <w:sz w:val="16"/>
                <w:szCs w:val="16"/>
              </w:rPr>
              <w:t>на основании:</w:t>
            </w:r>
          </w:p>
        </w:tc>
        <w:tc>
          <w:tcPr>
            <w:tcW w:w="27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11F53" w:rsidRPr="00A25AF7" w:rsidRDefault="00311F53" w:rsidP="00A25AF7">
            <w:pPr>
              <w:pStyle w:val="ConsPlusNormal"/>
              <w:ind w:firstLine="709"/>
              <w:contextualSpacing/>
              <w:rPr>
                <w:rFonts w:ascii="Bliss Pro" w:hAnsi="Bliss Pro"/>
                <w:bCs/>
                <w:szCs w:val="20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Правил комплексного ипотечного страхования (унифицированные правила страхования), утвержденных Приказом ПАО "САК "ЭНЕРГОГАРАНТ" </w:t>
            </w:r>
            <w:r>
              <w:rPr>
                <w:rFonts w:ascii="Bliss Pro" w:hAnsi="Bliss Pro"/>
                <w:sz w:val="16"/>
                <w:szCs w:val="16"/>
              </w:rPr>
              <w:br/>
            </w:r>
            <w:r w:rsidR="008576B3">
              <w:rPr>
                <w:rFonts w:ascii="Bliss Pro" w:hAnsi="Bliss Pro"/>
                <w:sz w:val="16"/>
                <w:szCs w:val="16"/>
              </w:rPr>
              <w:t>№ 1</w:t>
            </w:r>
            <w:r w:rsidR="008576B3" w:rsidRPr="008576B3">
              <w:rPr>
                <w:rFonts w:ascii="Bliss Pro" w:hAnsi="Bliss Pro"/>
                <w:sz w:val="16"/>
                <w:szCs w:val="16"/>
              </w:rPr>
              <w:t>41</w:t>
            </w:r>
            <w:r w:rsidR="008576B3">
              <w:rPr>
                <w:rFonts w:ascii="Bliss Pro" w:hAnsi="Bliss Pro"/>
                <w:sz w:val="16"/>
                <w:szCs w:val="16"/>
              </w:rPr>
              <w:t xml:space="preserve"> от </w:t>
            </w:r>
            <w:r w:rsidR="008576B3" w:rsidRPr="008576B3">
              <w:rPr>
                <w:rFonts w:ascii="Bliss Pro" w:hAnsi="Bliss Pro"/>
                <w:sz w:val="16"/>
                <w:szCs w:val="16"/>
              </w:rPr>
              <w:t>25</w:t>
            </w:r>
            <w:r w:rsidR="008576B3">
              <w:rPr>
                <w:rFonts w:ascii="Bliss Pro" w:hAnsi="Bliss Pro"/>
                <w:sz w:val="16"/>
                <w:szCs w:val="16"/>
              </w:rPr>
              <w:t>.</w:t>
            </w:r>
            <w:r w:rsidR="008576B3" w:rsidRPr="00E32857">
              <w:rPr>
                <w:rFonts w:ascii="Bliss Pro" w:hAnsi="Bliss Pro"/>
                <w:sz w:val="16"/>
                <w:szCs w:val="16"/>
              </w:rPr>
              <w:t>10</w:t>
            </w:r>
            <w:r w:rsidRPr="00A25AF7">
              <w:rPr>
                <w:rFonts w:ascii="Bliss Pro" w:hAnsi="Bliss Pro"/>
                <w:sz w:val="16"/>
                <w:szCs w:val="16"/>
              </w:rPr>
              <w:t>.2023 г. (далее - Правила страхования)</w:t>
            </w:r>
          </w:p>
        </w:tc>
        <w:tc>
          <w:tcPr>
            <w:tcW w:w="429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380EF2">
        <w:trPr>
          <w:jc w:val="center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A25AF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BD44CE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BD44CE" w:rsidRDefault="00311F53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A25AF7" w:rsidRPr="00A25AF7" w:rsidTr="00380EF2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A25AF7" w:rsidRPr="00A25AF7" w:rsidRDefault="00A25AF7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Страховщик:</w:t>
            </w:r>
          </w:p>
        </w:tc>
        <w:tc>
          <w:tcPr>
            <w:tcW w:w="43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B5656B" w:rsidRDefault="00A25AF7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ПАО "САК "ЭНЕРГОГАРАНТ", лицензия ЦБ РФ СЛ и СИ № 1834 от 01.02.2016 г. </w:t>
            </w:r>
          </w:p>
          <w:p w:rsidR="00A25AF7" w:rsidRPr="00A25AF7" w:rsidRDefault="00A25AF7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Юридический и фактический адрес: 115035, Москва, ул. Садовническая наб., д. 23, +7 (495) 737-03-30, </w:t>
            </w:r>
            <w:hyperlink r:id="rId9" w:history="1">
              <w:r w:rsidRPr="00B5656B">
                <w:rPr>
                  <w:rStyle w:val="af2"/>
                  <w:rFonts w:ascii="Bliss Pro" w:hAnsi="Bliss Pro"/>
                  <w:sz w:val="16"/>
                  <w:szCs w:val="16"/>
                </w:rPr>
                <w:t>energogarant.ru</w:t>
              </w:r>
            </w:hyperlink>
          </w:p>
        </w:tc>
      </w:tr>
      <w:tr w:rsidR="00A25AF7" w:rsidRPr="00A25AF7" w:rsidTr="00380EF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28" w:type="dxa"/>
            </w:tcMar>
          </w:tcPr>
          <w:p w:rsidR="00A25AF7" w:rsidRPr="00B5656B" w:rsidRDefault="00A25AF7" w:rsidP="00A25AF7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I. ЧТО ЗАСТРАХОВАНО?</w:t>
            </w:r>
          </w:p>
        </w:tc>
      </w:tr>
      <w:tr w:rsidR="008175CC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32857" w:rsidRPr="00E32857" w:rsidRDefault="00E32857" w:rsidP="00E3285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Утрата (гибель) или повреждение застрахованного имущества (кроме земельного участка) в результате наступления причин в соответствии с п. 2.4.2 Правил.</w:t>
            </w:r>
          </w:p>
          <w:p w:rsidR="00E32857" w:rsidRPr="00E32857" w:rsidRDefault="00E32857" w:rsidP="00E3285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</w:p>
          <w:p w:rsidR="00E32857" w:rsidRPr="00E32857" w:rsidRDefault="00E32857" w:rsidP="00E3285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В случае страхования земельного участка:</w:t>
            </w:r>
          </w:p>
          <w:p w:rsidR="00E32857" w:rsidRPr="00E32857" w:rsidRDefault="00E32857" w:rsidP="00E3285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утрата (гибель) или повреждение земельного участка в результате наступления причин в соответствии с п. 2.4.3 Правил (при страховании земельного участка).</w:t>
            </w:r>
          </w:p>
          <w:p w:rsidR="008175CC" w:rsidRPr="00A25AF7" w:rsidRDefault="008175CC" w:rsidP="0047725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8175CC" w:rsidRPr="008175CC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</w:tcPr>
          <w:p w:rsidR="008175CC" w:rsidRPr="008175CC" w:rsidRDefault="008175CC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II. ЧТО НЕ ЗАСТРАХОВАНО?</w:t>
            </w:r>
          </w:p>
        </w:tc>
      </w:tr>
      <w:tr w:rsidR="0090338A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1. Страховщик вправе отказать в страховой выплате в случаях: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лицо, предъявившее требование о страховой выплате, не является Страхователем, Выгодоприобретателем или представителем кого-либо из этих лиц.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заявленное событие (убыток) в действительности не имело места или не подтверждено соответствующими документами.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наступившее событие признано не страховым случаем в соответствии с условиями страхования.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имеются основания для освобождения Страховщика от страховой выплаты, предусмотренные законодательством Российской Федерации.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убыток полностью возмещен третьими лицами.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Страхователь (Выгодоприобретатель) после того, как ему стало известно о наступлении страхового случая, не уведомил о его наступлении Страховщика или его представителя не позднее 3 (трех) рабочих дней, если не будет доказано,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Если Страхователь (Выгодоприобретатель) отказался от своего права требования к лицу, ответственному за убытки, возмещенные Страховщиком, или осуществление этого права стало невозможным по вине Страхователя (Выгодоприобретателя), Страховщик освобождается от страховой выплаты полностью или в соответствующей части и вправе потребовать возврата излишне выплаченной суммы страховой выплаты.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В иных случаях, предусмотренных Гражданским кодексом Российской Федерации.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2. Страховщик освобождается от страховой выплаты, если страховой случай наступил в случае: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Воздействия ядерного взрыва, радиации или радиоактивного заражения.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</w:r>
            <w:r w:rsidR="00F451F7" w:rsidRPr="00F451F7">
              <w:rPr>
                <w:rFonts w:ascii="Bliss Pro" w:hAnsi="Bliss Pro" w:cs="Arial"/>
                <w:sz w:val="16"/>
                <w:szCs w:val="16"/>
              </w:rPr>
              <w:t>войны, интервенции, военных действий иностранных войск, иных аналогичных или приравниваемых к ним событий (независимо от того была ли объявлена война), гражданской войны, мятежа, путча, иных гражданских волнений, предполагающих перерастание в гражданское либо военное восстание, бунта, вооруженного или иного незаконного захвата власти, введения чрезвычайного положения на территории, на которой произошло событие, имеющее признаки страхового случая, а также применения, при возникновении указанных в настоящем пункте событий, боевых бактериологических и химических веществ; актов терроризма;</w:t>
            </w:r>
            <w:r w:rsidR="00F451F7">
              <w:rPr>
                <w:rFonts w:ascii="Bliss Pro" w:hAnsi="Bliss Pro" w:cs="Arial"/>
                <w:sz w:val="16"/>
                <w:szCs w:val="16"/>
              </w:rPr>
              <w:t xml:space="preserve"> 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>забастовок.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Изъятия, конфискации, реквизиции, ареста или уничтожения застрахованного имущества по распоряжению государственных органов.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>
              <w:rPr>
                <w:rFonts w:ascii="Bliss Pro" w:hAnsi="Bliss Pro" w:cs="Arial"/>
                <w:sz w:val="16"/>
                <w:szCs w:val="16"/>
              </w:rPr>
              <w:t>-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Умысла Страхователя (Застрахованного лица), Выгодоприобретателя, за исключением случаев, предусмотренных действующим законодательством Российской Федерации.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 События не признаются страховыми случаями по страхованию имущества, если они произошли вследствие следующих обстоятельств (при страховании имущества, за исключением земельного участка):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3.1. при страховании имущества, за исключением земельного участка: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3.1.1.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Использования застрахованного имущества для целей, не соответствующих его назначению либо с нарушением действующего законодательства Российской Федерации и нормативных актов, регламентирующих порядок использования застрахованного имущества, если такое использование стало причиной гибели или повреждения застрахованного имущества.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3.1.2.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Проникновения в застрахованное имущество атмосферных осадков через незакрытые окна, двери, и иные отверстия, за исключением случаев, когда такое проникновение стало возможным в результате наступления страхового случая.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3.1.3.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Нарушения Страхователем правил хранения и обращения с легковоспламеняющимися или горючими жидкостями и взрывчатыми веществами, иными опасными веществами и отходами производства и потребления, если допущенные нарушения явились причиной утраты или повреждения застрахованного имущества.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3.2. при страховании земельного участка: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3.2.1.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Использования застрахованного имущества для целей, не соответствующих его назначению либо с нарушением действующего законодательства Российской Федерации и нормативных актов, регламентирующих порядок использования застрахованного имущества, если такое использование стало причиной гибели или повреждения застрахованного имущества.</w:t>
            </w:r>
          </w:p>
          <w:p w:rsidR="00E32857" w:rsidRPr="00E32857" w:rsidRDefault="00E32857" w:rsidP="00E32857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 w:cs="Arial"/>
                <w:sz w:val="16"/>
                <w:szCs w:val="16"/>
              </w:rPr>
              <w:t>3.2.2.</w:t>
            </w:r>
            <w:r w:rsidRPr="00E32857">
              <w:rPr>
                <w:rFonts w:ascii="Bliss Pro" w:hAnsi="Bliss Pro" w:cs="Arial"/>
                <w:sz w:val="16"/>
                <w:szCs w:val="16"/>
              </w:rPr>
              <w:tab/>
              <w:t>Нарушения Страхователем правил хранения и обращения с легковоспламеняющимися или горючими жидкостями и взрывчатыми веществами либо пестицидами, агрохимикатами, иными опасными веществами и отходами производства и потребления, если допущенные нарушения явились причиной утраты или повреждения застрахованного имущества.</w:t>
            </w:r>
          </w:p>
          <w:p w:rsidR="0090338A" w:rsidRPr="00A25AF7" w:rsidRDefault="0090338A" w:rsidP="00E3285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B8583C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left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EC6E8B" w:rsidRDefault="00B8583C" w:rsidP="00D41146">
            <w:pPr>
              <w:tabs>
                <w:tab w:val="left" w:pos="311"/>
              </w:tabs>
              <w:contextualSpacing/>
              <w:rPr>
                <w:rFonts w:ascii="Bliss Pro" w:hAnsi="Bliss Pro" w:cs="Arial"/>
                <w:sz w:val="12"/>
                <w:szCs w:val="12"/>
              </w:rPr>
            </w:pPr>
          </w:p>
        </w:tc>
      </w:tr>
      <w:tr w:rsidR="00E32857" w:rsidRPr="00A25AF7" w:rsidTr="00A1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noWrap/>
          </w:tcPr>
          <w:p w:rsidR="00E32857" w:rsidRPr="00A25AF7" w:rsidRDefault="00E32857" w:rsidP="00A125A2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6"/>
                <w:szCs w:val="16"/>
              </w:rPr>
            </w:pPr>
            <w:r w:rsidRPr="00E32857">
              <w:rPr>
                <w:rFonts w:ascii="Bliss Pro" w:hAnsi="Bliss Pro"/>
                <w:b/>
                <w:sz w:val="18"/>
                <w:szCs w:val="18"/>
              </w:rPr>
              <w:lastRenderedPageBreak/>
              <w:t>Раздел III. ТЕРРИТОРИЯ СТРАХОВАНИЯ</w:t>
            </w:r>
          </w:p>
        </w:tc>
      </w:tr>
      <w:tr w:rsidR="00E32857" w:rsidRPr="00A25AF7" w:rsidTr="00A1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37"/>
          <w:jc w:val="center"/>
        </w:trPr>
        <w:tc>
          <w:tcPr>
            <w:tcW w:w="5000" w:type="pct"/>
            <w:gridSpan w:val="5"/>
            <w:noWrap/>
          </w:tcPr>
          <w:p w:rsidR="00E32857" w:rsidRPr="00E32857" w:rsidRDefault="00E32857" w:rsidP="00A125A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Страхование действует на территории адреса места нахождения застрахованного недвижимого имущества</w:t>
            </w:r>
            <w:r>
              <w:rPr>
                <w:rFonts w:ascii="Bliss Pro" w:hAnsi="Bliss Pro"/>
                <w:sz w:val="16"/>
                <w:szCs w:val="16"/>
              </w:rPr>
              <w:t>.</w:t>
            </w:r>
          </w:p>
        </w:tc>
      </w:tr>
      <w:tr w:rsidR="00E32857" w:rsidRPr="00A25AF7" w:rsidTr="00A12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E32857" w:rsidRPr="00461C01" w:rsidRDefault="00E32857" w:rsidP="00A125A2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E32857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>
              <w:rPr>
                <w:rFonts w:ascii="Bliss Pro" w:hAnsi="Bliss Pro"/>
                <w:b/>
                <w:sz w:val="18"/>
                <w:szCs w:val="18"/>
              </w:rPr>
              <w:t>Раздел I</w:t>
            </w:r>
            <w:r>
              <w:rPr>
                <w:rFonts w:ascii="Bliss Pro" w:hAnsi="Bliss Pro"/>
                <w:b/>
                <w:sz w:val="18"/>
                <w:szCs w:val="18"/>
                <w:lang w:val="en-US"/>
              </w:rPr>
              <w:t>V</w:t>
            </w:r>
            <w:r w:rsidR="0090338A" w:rsidRPr="00A25AF7">
              <w:rPr>
                <w:rFonts w:ascii="Bliss Pro" w:hAnsi="Bliss Pro"/>
                <w:b/>
                <w:sz w:val="18"/>
                <w:szCs w:val="18"/>
              </w:rPr>
              <w:t>. КАК ПОЛУЧИТЬ СТРАХОВУЮ ВЫПЛАТУ?</w:t>
            </w:r>
          </w:p>
        </w:tc>
      </w:tr>
      <w:tr w:rsidR="00380EF2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E32857" w:rsidRPr="00E32857" w:rsidRDefault="00E32857" w:rsidP="00E32857">
            <w:pPr>
              <w:pStyle w:val="ConsPlusNormal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Страхователь (Выгодоприобретатель) после того, как стало известно о наступлении события, имеющего признаки страхового случая, обязан незамедлительно, но в любом случае не позднее 3 (трех) рабочих дней уведомить Страховщика (его представителя) о его наступлении способом, позволяющим установить текст с указанием отправителя и даты уведомления, после чего следовать письменным указаниям Страховщика, если таковые будут сообщены.</w:t>
            </w:r>
          </w:p>
          <w:p w:rsidR="00E32857" w:rsidRPr="00E32857" w:rsidRDefault="00E32857" w:rsidP="00E32857">
            <w:pPr>
              <w:pStyle w:val="ConsPlusNormal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Для получения страховой выплаты (страхового возмещения) требуется представить документы в соответствии с разделом 8 Правил.</w:t>
            </w:r>
          </w:p>
          <w:p w:rsidR="00B23B81" w:rsidRPr="00B23B81" w:rsidRDefault="00E32857" w:rsidP="00E32857">
            <w:pPr>
              <w:widowControl w:val="0"/>
              <w:tabs>
                <w:tab w:val="left" w:pos="1134"/>
              </w:tabs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E32857">
              <w:rPr>
                <w:rFonts w:ascii="Bliss Pro" w:hAnsi="Bliss Pro"/>
                <w:sz w:val="16"/>
                <w:szCs w:val="16"/>
              </w:rPr>
              <w:t>Страховая выплата (страховое возмещение) осуществляется в течение 30 (тридцати) календарных дней со дня представления указанных документов в соответствии с п.8.7.1 Правил.</w:t>
            </w:r>
          </w:p>
        </w:tc>
      </w:tr>
      <w:tr w:rsidR="00B8583C" w:rsidRPr="00EC6E8B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EC6E8B" w:rsidRDefault="00B8583C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noWrap/>
          </w:tcPr>
          <w:p w:rsidR="0090338A" w:rsidRPr="00A25AF7" w:rsidRDefault="00E32857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>
              <w:rPr>
                <w:rFonts w:ascii="Bliss Pro" w:hAnsi="Bliss Pro"/>
                <w:b/>
                <w:sz w:val="18"/>
                <w:szCs w:val="18"/>
              </w:rPr>
              <w:t xml:space="preserve">Раздел </w:t>
            </w:r>
            <w:r w:rsidR="0090338A" w:rsidRPr="00A25AF7">
              <w:rPr>
                <w:rFonts w:ascii="Bliss Pro" w:hAnsi="Bliss Pro"/>
                <w:b/>
                <w:sz w:val="18"/>
                <w:szCs w:val="18"/>
              </w:rPr>
              <w:t>V. КАК ВЕРНУТЬ СТРАХОВУЮ ПРЕМИЮ?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2"/>
            <w:noWrap/>
            <w:tcMar>
              <w:top w:w="28" w:type="dxa"/>
              <w:bottom w:w="28" w:type="dxa"/>
            </w:tcMar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Основания для возврата страховой премии</w:t>
            </w:r>
          </w:p>
        </w:tc>
        <w:tc>
          <w:tcPr>
            <w:tcW w:w="1605" w:type="pct"/>
            <w:gridSpan w:val="3"/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Сумма возврата страховой премии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2"/>
            <w:noWrap/>
            <w:tcMar>
              <w:top w:w="28" w:type="dxa"/>
              <w:bottom w:w="28" w:type="dxa"/>
            </w:tcMar>
          </w:tcPr>
          <w:p w:rsidR="0090338A" w:rsidRPr="00A25AF7" w:rsidRDefault="00767DB0" w:rsidP="009A2E0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Отказ от договора добровольного страхования в течение </w:t>
            </w:r>
            <w:r w:rsidR="009A2E02" w:rsidRPr="009A2E02">
              <w:rPr>
                <w:rFonts w:ascii="Bliss Pro" w:hAnsi="Bliss Pro"/>
                <w:color w:val="FF0000"/>
                <w:sz w:val="16"/>
                <w:szCs w:val="16"/>
              </w:rPr>
              <w:t>30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 календарных дней со дня его заключения при отсутствии в данном периоде событий, имеющих признаки страхового случая</w:t>
            </w:r>
          </w:p>
        </w:tc>
        <w:tc>
          <w:tcPr>
            <w:tcW w:w="1605" w:type="pct"/>
            <w:gridSpan w:val="3"/>
            <w:noWrap/>
            <w:vAlign w:val="center"/>
          </w:tcPr>
          <w:p w:rsidR="0090338A" w:rsidRPr="00A25AF7" w:rsidRDefault="0090338A" w:rsidP="00461C01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100%</w:t>
            </w:r>
            <w:r w:rsidR="002467C1" w:rsidRPr="00A25AF7">
              <w:rPr>
                <w:rFonts w:ascii="Bliss Pro" w:hAnsi="Bliss Pro"/>
                <w:sz w:val="16"/>
                <w:szCs w:val="16"/>
              </w:rPr>
              <w:t xml:space="preserve"> уплаченной</w:t>
            </w:r>
            <w:r w:rsidRPr="00A25AF7">
              <w:rPr>
                <w:rFonts w:ascii="Bliss Pro" w:hAnsi="Bliss Pro"/>
                <w:sz w:val="16"/>
                <w:szCs w:val="16"/>
              </w:rPr>
              <w:t xml:space="preserve"> страховой премии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2"/>
            <w:noWrap/>
            <w:tcMar>
              <w:top w:w="28" w:type="dxa"/>
              <w:bottom w:w="28" w:type="dxa"/>
            </w:tcMar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2.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>Отказ от страхования в случае непредоставления, предоставления неполной или недостоверной информации</w:t>
            </w:r>
            <w:r w:rsidR="0090338A" w:rsidRPr="00A25AF7">
              <w:rPr>
                <w:rStyle w:val="a5"/>
                <w:rFonts w:ascii="Bliss Pro" w:hAnsi="Bliss Pro"/>
                <w:iCs/>
                <w:sz w:val="16"/>
                <w:szCs w:val="16"/>
              </w:rPr>
              <w:footnoteReference w:id="1"/>
            </w:r>
            <w:r w:rsidR="0090338A" w:rsidRPr="00A25AF7">
              <w:rPr>
                <w:rFonts w:ascii="Bliss Pro" w:hAnsi="Bliss Pro"/>
                <w:iCs/>
                <w:sz w:val="16"/>
                <w:szCs w:val="16"/>
              </w:rPr>
              <w:t xml:space="preserve">  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о договоре страхования при отсутствии </w:t>
            </w:r>
            <w:r w:rsidR="00056EE9" w:rsidRPr="00A25AF7">
              <w:rPr>
                <w:rFonts w:ascii="Bliss Pro" w:hAnsi="Bliss Pro"/>
                <w:sz w:val="16"/>
                <w:szCs w:val="16"/>
              </w:rPr>
              <w:t xml:space="preserve">в оплаченном периоде 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>событий, имеющих признаки страхового случая</w:t>
            </w:r>
          </w:p>
        </w:tc>
        <w:tc>
          <w:tcPr>
            <w:tcW w:w="1605" w:type="pct"/>
            <w:gridSpan w:val="3"/>
            <w:vMerge w:val="restart"/>
            <w:noWrap/>
            <w:vAlign w:val="center"/>
          </w:tcPr>
          <w:p w:rsidR="0090338A" w:rsidRPr="00461C01" w:rsidRDefault="0090338A" w:rsidP="00204DA9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461C01">
              <w:rPr>
                <w:rFonts w:ascii="Bliss Pro" w:hAnsi="Bliss Pro"/>
                <w:sz w:val="16"/>
                <w:szCs w:val="16"/>
              </w:rPr>
              <w:t>100%</w:t>
            </w:r>
            <w:r w:rsidR="002467C1" w:rsidRPr="00461C01">
              <w:rPr>
                <w:rFonts w:ascii="Bliss Pro" w:hAnsi="Bliss Pro"/>
                <w:sz w:val="16"/>
                <w:szCs w:val="16"/>
              </w:rPr>
              <w:t xml:space="preserve"> уплаченной</w:t>
            </w:r>
            <w:r w:rsidRPr="00461C01">
              <w:rPr>
                <w:rFonts w:ascii="Bliss Pro" w:hAnsi="Bliss Pro"/>
                <w:sz w:val="16"/>
                <w:szCs w:val="16"/>
              </w:rPr>
              <w:t xml:space="preserve">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2"/>
            <w:noWrap/>
            <w:tcMar>
              <w:top w:w="28" w:type="dxa"/>
              <w:bottom w:w="28" w:type="dxa"/>
            </w:tcMar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3.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0672AD" w:rsidRPr="00A25AF7">
              <w:rPr>
                <w:rFonts w:ascii="Bliss Pro" w:hAnsi="Bliss Pro"/>
                <w:sz w:val="16"/>
                <w:szCs w:val="16"/>
              </w:rPr>
              <w:t>Прекращение договора страхования в случае полного досрочного погашения кредита, при отсутствии событий, имеющих признаки страхового случая</w:t>
            </w:r>
          </w:p>
        </w:tc>
        <w:tc>
          <w:tcPr>
            <w:tcW w:w="1605" w:type="pct"/>
            <w:gridSpan w:val="3"/>
            <w:vMerge/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2"/>
            <w:noWrap/>
            <w:tcMar>
              <w:top w:w="28" w:type="dxa"/>
              <w:bottom w:w="28" w:type="dxa"/>
            </w:tcMar>
            <w:vAlign w:val="center"/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4.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0672AD" w:rsidRPr="00A25AF7">
              <w:rPr>
                <w:rFonts w:ascii="Bliss Pro" w:hAnsi="Bliss Pro"/>
                <w:sz w:val="16"/>
                <w:szCs w:val="16"/>
              </w:rPr>
              <w:t>Прекращение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 договора страхования, если после вступления договора страхования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</w:t>
            </w:r>
          </w:p>
        </w:tc>
        <w:tc>
          <w:tcPr>
            <w:tcW w:w="1605" w:type="pct"/>
            <w:gridSpan w:val="3"/>
            <w:vMerge/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noWrap/>
          </w:tcPr>
          <w:p w:rsidR="0090338A" w:rsidRPr="00461C01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bCs/>
                <w:sz w:val="16"/>
                <w:szCs w:val="16"/>
              </w:rPr>
            </w:pPr>
            <w:r w:rsidRPr="00461C01">
              <w:rPr>
                <w:rFonts w:ascii="Bliss Pro" w:hAnsi="Bliss Pro"/>
                <w:b/>
                <w:bCs/>
                <w:sz w:val="16"/>
                <w:szCs w:val="16"/>
              </w:rPr>
              <w:t>В иных случаях страховая премия возврату не подлежит.</w:t>
            </w:r>
          </w:p>
        </w:tc>
      </w:tr>
      <w:tr w:rsidR="0090338A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nil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61"/>
          <w:jc w:val="center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ind w:firstLine="283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Возврат страховой премии осуществляется в течение 7 рабочих дней со дня получения соответствующего заявления</w:t>
            </w:r>
            <w:r w:rsidR="00767DB0" w:rsidRPr="00A25AF7">
              <w:rPr>
                <w:rFonts w:ascii="Bliss Pro" w:hAnsi="Bliss Pro"/>
                <w:sz w:val="16"/>
                <w:szCs w:val="16"/>
              </w:rPr>
              <w:t>, а в случаях, указанных в п.п. 3, 4 настоящего раздела, - также документов, подтверждающих основания для возврата страховой премии (ее части)</w:t>
            </w:r>
            <w:r w:rsidRPr="00A25AF7">
              <w:rPr>
                <w:rFonts w:ascii="Bliss Pro" w:hAnsi="Bliss Pro"/>
                <w:sz w:val="16"/>
                <w:szCs w:val="16"/>
              </w:rPr>
              <w:t>.</w:t>
            </w:r>
          </w:p>
        </w:tc>
      </w:tr>
      <w:tr w:rsidR="00B8583C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left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461C01" w:rsidRDefault="00B8583C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E32857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6"/>
                <w:szCs w:val="16"/>
              </w:rPr>
            </w:pPr>
            <w:r>
              <w:rPr>
                <w:rFonts w:ascii="Bliss Pro" w:hAnsi="Bliss Pro"/>
                <w:b/>
                <w:sz w:val="18"/>
                <w:szCs w:val="18"/>
              </w:rPr>
              <w:t>Раздел VI</w:t>
            </w:r>
            <w:r w:rsidR="0090338A" w:rsidRPr="00A25AF7">
              <w:rPr>
                <w:rFonts w:ascii="Bliss Pro" w:hAnsi="Bliss Pro"/>
                <w:b/>
                <w:sz w:val="18"/>
                <w:szCs w:val="18"/>
              </w:rPr>
              <w:t>. КАК УРЕГУЛИРОВАТЬ СПОР ДО СУДА?</w:t>
            </w:r>
          </w:p>
        </w:tc>
      </w:tr>
      <w:tr w:rsidR="00380EF2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0EF2" w:rsidRPr="00A25AF7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1. Направить страховщику заявление (претензию) в письменной форме.</w:t>
            </w:r>
          </w:p>
          <w:p w:rsidR="00380EF2" w:rsidRPr="00A25AF7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2. Если страховщик не удовлетворил заявление (претензию), при этом размер требований не превышает 500 000,00 рублей, до обращения в суд необходимо обратиться к уполномоченному по правам потребителей финансовых услуг:</w:t>
            </w:r>
          </w:p>
          <w:p w:rsidR="00380EF2" w:rsidRPr="00A25AF7" w:rsidRDefault="00204DA9" w:rsidP="00204DA9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(</w:t>
            </w:r>
            <w:r w:rsidR="00380EF2" w:rsidRPr="00A25AF7">
              <w:rPr>
                <w:rFonts w:ascii="Bliss Pro" w:hAnsi="Bliss Pro"/>
                <w:sz w:val="16"/>
                <w:szCs w:val="16"/>
              </w:rPr>
              <w:t xml:space="preserve">сайт: </w:t>
            </w:r>
            <w:hyperlink r:id="rId10" w:history="1">
              <w:r w:rsidR="00380EF2" w:rsidRPr="00380EF2">
                <w:rPr>
                  <w:rStyle w:val="af2"/>
                  <w:rFonts w:ascii="Bliss Pro" w:hAnsi="Bliss Pro"/>
                  <w:sz w:val="16"/>
                  <w:szCs w:val="16"/>
                </w:rPr>
                <w:t>finombudsman.ru</w:t>
              </w:r>
            </w:hyperlink>
            <w:r w:rsidR="00380EF2" w:rsidRPr="00A25AF7">
              <w:rPr>
                <w:rFonts w:ascii="Bliss Pro" w:hAnsi="Bliss Pro"/>
                <w:sz w:val="16"/>
                <w:szCs w:val="16"/>
              </w:rPr>
              <w:t>;</w:t>
            </w:r>
            <w:r>
              <w:rPr>
                <w:rFonts w:ascii="Bliss Pro" w:hAnsi="Bliss Pro"/>
                <w:sz w:val="16"/>
                <w:szCs w:val="16"/>
              </w:rPr>
              <w:t xml:space="preserve"> </w:t>
            </w:r>
            <w:r w:rsidR="00380EF2" w:rsidRPr="00A25AF7">
              <w:rPr>
                <w:rFonts w:ascii="Bliss Pro" w:hAnsi="Bliss Pro"/>
                <w:sz w:val="16"/>
                <w:szCs w:val="16"/>
              </w:rPr>
              <w:t>адрес: 119017, г. Москва, Старомонетный пер., дом 3</w:t>
            </w:r>
            <w:r>
              <w:rPr>
                <w:rFonts w:ascii="Bliss Pro" w:hAnsi="Bliss Pro"/>
                <w:sz w:val="16"/>
                <w:szCs w:val="16"/>
              </w:rPr>
              <w:t>).</w:t>
            </w:r>
          </w:p>
          <w:p w:rsidR="00380EF2" w:rsidRPr="00DB41AA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DB41AA">
              <w:rPr>
                <w:rFonts w:ascii="Bliss Pro" w:hAnsi="Bliss Pro"/>
                <w:sz w:val="16"/>
                <w:szCs w:val="16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:rsidR="008D62A9" w:rsidRPr="009F0A19" w:rsidRDefault="008D62A9" w:rsidP="00D41146">
      <w:pPr>
        <w:contextualSpacing/>
      </w:pPr>
    </w:p>
    <w:sectPr w:rsidR="008D62A9" w:rsidRPr="009F0A19" w:rsidSect="00461C01">
      <w:headerReference w:type="default" r:id="rId11"/>
      <w:footerReference w:type="default" r:id="rId12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337" w:rsidRDefault="00B87337" w:rsidP="0090338A">
      <w:r>
        <w:separator/>
      </w:r>
    </w:p>
  </w:endnote>
  <w:endnote w:type="continuationSeparator" w:id="0">
    <w:p w:rsidR="00B87337" w:rsidRDefault="00B87337" w:rsidP="009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18" w:space="0" w:color="000000"/>
        <w:insideV w:val="single" w:sz="12" w:space="0" w:color="000000"/>
      </w:tblBorders>
      <w:shd w:val="clear" w:color="auto" w:fill="000000"/>
      <w:tblCellMar>
        <w:top w:w="85" w:type="dxa"/>
        <w:left w:w="85" w:type="dxa"/>
        <w:bottom w:w="85" w:type="dxa"/>
        <w:right w:w="85" w:type="dxa"/>
      </w:tblCellMar>
      <w:tblLook w:val="04A0" w:firstRow="1" w:lastRow="0" w:firstColumn="1" w:lastColumn="0" w:noHBand="0" w:noVBand="1"/>
    </w:tblPr>
    <w:tblGrid>
      <w:gridCol w:w="3895"/>
      <w:gridCol w:w="2026"/>
      <w:gridCol w:w="2307"/>
      <w:gridCol w:w="1978"/>
    </w:tblGrid>
    <w:tr w:rsidR="00B8583C" w:rsidRPr="00A25AF7" w:rsidTr="00F8637F">
      <w:trPr>
        <w:jc w:val="center"/>
      </w:trPr>
      <w:tc>
        <w:tcPr>
          <w:tcW w:w="10772" w:type="dxa"/>
          <w:gridSpan w:val="4"/>
          <w:tcBorders>
            <w:top w:val="single" w:sz="8" w:space="0" w:color="EF4123"/>
            <w:bottom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8583C" w:rsidRPr="00A25AF7" w:rsidRDefault="00B8583C" w:rsidP="00B8583C">
          <w:pPr>
            <w:jc w:val="right"/>
            <w:rPr>
              <w:rFonts w:ascii="Bliss Pro" w:hAnsi="Bliss Pro"/>
              <w:bCs/>
              <w:sz w:val="2"/>
              <w:szCs w:val="16"/>
              <w:lang w:val="en-US"/>
            </w:rPr>
          </w:pPr>
        </w:p>
      </w:tc>
    </w:tr>
    <w:tr w:rsidR="00B8583C" w:rsidRPr="00A25AF7" w:rsidTr="00F8637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8"/>
        <w:jc w:val="center"/>
      </w:trPr>
      <w:tc>
        <w:tcPr>
          <w:tcW w:w="4144" w:type="dxa"/>
          <w:tcBorders>
            <w:top w:val="nil"/>
            <w:left w:val="nil"/>
            <w:bottom w:val="nil"/>
          </w:tcBorders>
          <w:shd w:val="clear" w:color="auto" w:fill="auto"/>
          <w:tcMar>
            <w:left w:w="0" w:type="dxa"/>
          </w:tcMar>
        </w:tcPr>
        <w:p w:rsidR="00B8583C" w:rsidRPr="00A25AF7" w:rsidRDefault="00B8583C" w:rsidP="00B8583C">
          <w:pPr>
            <w:rPr>
              <w:rFonts w:ascii="Bliss Pro" w:hAnsi="Bliss Pro"/>
              <w:bCs/>
              <w:sz w:val="14"/>
              <w:szCs w:val="14"/>
              <w:lang w:val="en-US"/>
            </w:rPr>
          </w:pPr>
          <w:r w:rsidRPr="00A25AF7">
            <w:rPr>
              <w:rFonts w:ascii="Bliss Pro" w:hAnsi="Bliss Pro"/>
              <w:bCs/>
              <w:sz w:val="14"/>
              <w:szCs w:val="14"/>
            </w:rPr>
            <w:t>115035, Москва, Садовническая наб., д. 23</w:t>
          </w:r>
        </w:p>
      </w:tc>
      <w:tc>
        <w:tcPr>
          <w:tcW w:w="2155" w:type="dxa"/>
          <w:tcBorders>
            <w:top w:val="nil"/>
            <w:bottom w:val="nil"/>
          </w:tcBorders>
          <w:shd w:val="clear" w:color="auto" w:fill="auto"/>
        </w:tcPr>
        <w:p w:rsidR="00B8583C" w:rsidRPr="00A25AF7" w:rsidRDefault="00B8583C" w:rsidP="00B8583C">
          <w:pPr>
            <w:jc w:val="center"/>
            <w:rPr>
              <w:rFonts w:ascii="Bliss Pro" w:hAnsi="Bliss Pro"/>
              <w:bCs/>
              <w:sz w:val="14"/>
              <w:szCs w:val="14"/>
              <w:lang w:val="en-US"/>
            </w:rPr>
          </w:pPr>
          <w:r w:rsidRPr="00A25AF7">
            <w:rPr>
              <w:rFonts w:ascii="Bliss Pro" w:hAnsi="Bliss Pro"/>
              <w:bCs/>
              <w:sz w:val="14"/>
              <w:szCs w:val="14"/>
            </w:rPr>
            <w:t>+7 (495) 737-03-30</w:t>
          </w:r>
        </w:p>
      </w:tc>
      <w:tc>
        <w:tcPr>
          <w:tcW w:w="2421" w:type="dxa"/>
          <w:tcBorders>
            <w:top w:val="nil"/>
            <w:bottom w:val="nil"/>
          </w:tcBorders>
          <w:shd w:val="clear" w:color="auto" w:fill="auto"/>
        </w:tcPr>
        <w:p w:rsidR="00B8583C" w:rsidRPr="00A25AF7" w:rsidRDefault="007E4020" w:rsidP="00B8583C">
          <w:pPr>
            <w:jc w:val="center"/>
            <w:rPr>
              <w:rFonts w:ascii="Bliss Pro" w:hAnsi="Bliss Pro"/>
              <w:bCs/>
              <w:color w:val="EF4123"/>
              <w:sz w:val="14"/>
              <w:szCs w:val="14"/>
              <w:lang w:val="en-US"/>
            </w:rPr>
          </w:pPr>
          <w:hyperlink r:id="rId1" w:history="1">
            <w:r w:rsidR="00B8583C" w:rsidRPr="00A25AF7">
              <w:rPr>
                <w:rStyle w:val="af2"/>
                <w:rFonts w:ascii="Bliss Pro" w:hAnsi="Bliss Pro"/>
                <w:bCs/>
                <w:sz w:val="14"/>
                <w:szCs w:val="14"/>
                <w:lang w:val="en-US"/>
              </w:rPr>
              <w:t>energy@msk-garant.ru</w:t>
            </w:r>
          </w:hyperlink>
        </w:p>
      </w:tc>
      <w:tc>
        <w:tcPr>
          <w:tcW w:w="2052" w:type="dxa"/>
          <w:tcBorders>
            <w:top w:val="nil"/>
            <w:bottom w:val="nil"/>
            <w:right w:val="nil"/>
          </w:tcBorders>
          <w:shd w:val="clear" w:color="auto" w:fill="auto"/>
        </w:tcPr>
        <w:p w:rsidR="00B8583C" w:rsidRPr="00A25AF7" w:rsidRDefault="007E4020" w:rsidP="00B8583C">
          <w:pPr>
            <w:jc w:val="center"/>
            <w:rPr>
              <w:rFonts w:ascii="Bliss Pro" w:hAnsi="Bliss Pro"/>
              <w:bCs/>
              <w:color w:val="EF4123"/>
              <w:sz w:val="14"/>
              <w:szCs w:val="14"/>
              <w:lang w:val="en-US"/>
            </w:rPr>
          </w:pPr>
          <w:hyperlink r:id="rId2" w:history="1">
            <w:r w:rsidR="00B8583C" w:rsidRPr="00A25AF7">
              <w:rPr>
                <w:rStyle w:val="af2"/>
                <w:rFonts w:ascii="Bliss Pro" w:hAnsi="Bliss Pro"/>
                <w:bCs/>
                <w:sz w:val="14"/>
                <w:szCs w:val="14"/>
                <w:lang w:val="en-US"/>
              </w:rPr>
              <w:t>energogarant.ru</w:t>
            </w:r>
          </w:hyperlink>
        </w:p>
      </w:tc>
    </w:tr>
  </w:tbl>
  <w:p w:rsidR="00B8583C" w:rsidRPr="00B8583C" w:rsidRDefault="00B8583C">
    <w:pPr>
      <w:pStyle w:val="af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337" w:rsidRDefault="00B87337" w:rsidP="0090338A">
      <w:r>
        <w:separator/>
      </w:r>
    </w:p>
  </w:footnote>
  <w:footnote w:type="continuationSeparator" w:id="0">
    <w:p w:rsidR="00B87337" w:rsidRDefault="00B87337" w:rsidP="0090338A">
      <w:r>
        <w:continuationSeparator/>
      </w:r>
    </w:p>
  </w:footnote>
  <w:footnote w:id="1">
    <w:p w:rsidR="0090338A" w:rsidRPr="00274E1C" w:rsidRDefault="0090338A" w:rsidP="00D41146">
      <w:pPr>
        <w:pStyle w:val="a3"/>
        <w:rPr>
          <w:rFonts w:ascii="Bliss Pro" w:hAnsi="Bliss Pro" w:cs="Arial"/>
          <w:i/>
          <w:iCs/>
          <w:sz w:val="16"/>
          <w:szCs w:val="16"/>
        </w:rPr>
      </w:pPr>
      <w:r w:rsidRPr="00274E1C">
        <w:rPr>
          <w:rStyle w:val="a5"/>
          <w:rFonts w:ascii="Bliss Pro" w:hAnsi="Bliss Pro"/>
          <w:i/>
          <w:iCs/>
          <w:sz w:val="16"/>
          <w:szCs w:val="16"/>
        </w:rPr>
        <w:footnoteRef/>
      </w:r>
      <w:r w:rsidRPr="00274E1C">
        <w:rPr>
          <w:rFonts w:ascii="Bliss Pro" w:hAnsi="Bliss Pro"/>
          <w:i/>
          <w:iCs/>
          <w:sz w:val="16"/>
          <w:szCs w:val="16"/>
        </w:rPr>
        <w:t xml:space="preserve"> </w:t>
      </w:r>
      <w:r w:rsidRPr="00274E1C">
        <w:rPr>
          <w:rFonts w:ascii="Bliss Pro" w:hAnsi="Bliss Pro" w:cs="Arial"/>
          <w:i/>
          <w:iCs/>
          <w:sz w:val="16"/>
          <w:szCs w:val="16"/>
        </w:rPr>
        <w:t>Требования Банка России о предоставлении информации применяются в редакции Указания Банка России, действующего на дату заключения договора страхования.</w:t>
      </w:r>
    </w:p>
    <w:p w:rsidR="00274E1C" w:rsidRPr="00461C01" w:rsidRDefault="00274E1C" w:rsidP="00D41146">
      <w:pPr>
        <w:pStyle w:val="a3"/>
        <w:rPr>
          <w:rFonts w:ascii="Bliss Pro" w:hAnsi="Bliss Pro"/>
          <w:sz w:val="6"/>
          <w:szCs w:val="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7"/>
      <w:gridCol w:w="5089"/>
    </w:tblGrid>
    <w:tr w:rsidR="00311F53" w:rsidRPr="00A25AF7" w:rsidTr="00F8637F">
      <w:trPr>
        <w:jc w:val="center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01F72" w:rsidP="0003489E">
          <w:pPr>
            <w:pStyle w:val="a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AC18D13" wp14:editId="6E4DF960">
                <wp:simplePos x="0" y="0"/>
                <wp:positionH relativeFrom="column">
                  <wp:posOffset>-1270</wp:posOffset>
                </wp:positionH>
                <wp:positionV relativeFrom="paragraph">
                  <wp:posOffset>1905</wp:posOffset>
                </wp:positionV>
                <wp:extent cx="3429000" cy="228600"/>
                <wp:effectExtent l="0" t="0" r="0" b="0"/>
                <wp:wrapNone/>
                <wp:docPr id="2" name="Рисунок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rPr>
              <w:sz w:val="16"/>
              <w:szCs w:val="16"/>
            </w:rPr>
          </w:pPr>
        </w:p>
      </w:tc>
    </w:tr>
    <w:tr w:rsidR="0003489E" w:rsidRPr="00A25AF7" w:rsidTr="00F8637F">
      <w:trPr>
        <w:jc w:val="center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rPr>
              <w:sz w:val="16"/>
              <w:szCs w:val="16"/>
            </w:rPr>
          </w:pPr>
        </w:p>
      </w:tc>
      <w:tc>
        <w:tcPr>
          <w:tcW w:w="5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right"/>
            <w:rPr>
              <w:rFonts w:ascii="Bliss Pro" w:hAnsi="Bliss Pro"/>
              <w:sz w:val="16"/>
              <w:szCs w:val="16"/>
            </w:rPr>
          </w:pPr>
        </w:p>
      </w:tc>
    </w:tr>
    <w:tr w:rsidR="0003489E" w:rsidRPr="00A25AF7" w:rsidTr="00F8637F">
      <w:trPr>
        <w:jc w:val="center"/>
      </w:trPr>
      <w:tc>
        <w:tcPr>
          <w:tcW w:w="10772" w:type="dxa"/>
          <w:gridSpan w:val="2"/>
          <w:tcBorders>
            <w:top w:val="nil"/>
            <w:left w:val="nil"/>
            <w:bottom w:val="single" w:sz="6" w:space="0" w:color="7F7F7F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right"/>
            <w:rPr>
              <w:color w:val="58595B"/>
              <w:sz w:val="6"/>
              <w:szCs w:val="6"/>
            </w:rPr>
          </w:pPr>
        </w:p>
      </w:tc>
    </w:tr>
    <w:tr w:rsidR="0003489E" w:rsidRPr="00A25AF7" w:rsidTr="00461C01">
      <w:trPr>
        <w:jc w:val="center"/>
      </w:trPr>
      <w:tc>
        <w:tcPr>
          <w:tcW w:w="10772" w:type="dxa"/>
          <w:gridSpan w:val="2"/>
          <w:tcBorders>
            <w:top w:val="single" w:sz="6" w:space="0" w:color="7F7F7F"/>
            <w:left w:val="nil"/>
            <w:bottom w:val="nil"/>
            <w:right w:val="nil"/>
          </w:tcBorders>
          <w:shd w:val="clear" w:color="auto" w:fill="auto"/>
          <w:tcMar>
            <w:top w:w="85" w:type="dxa"/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center"/>
            <w:rPr>
              <w:rFonts w:ascii="Bliss Pro" w:hAnsi="Bliss Pro"/>
              <w:bCs/>
              <w:sz w:val="16"/>
              <w:szCs w:val="16"/>
              <w:lang w:val="en-US"/>
            </w:rPr>
          </w:pP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begin"/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instrText xml:space="preserve"> PAGE  \* Arabic  \* MERGEFORMAT </w:instrTex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separate"/>
          </w:r>
          <w:r w:rsidR="00F451F7">
            <w:rPr>
              <w:rFonts w:ascii="Bliss Pro" w:hAnsi="Bliss Pro"/>
              <w:bCs/>
              <w:noProof/>
              <w:sz w:val="16"/>
              <w:szCs w:val="16"/>
              <w:lang w:val="en-US"/>
            </w:rPr>
            <w:t>1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end"/>
          </w:r>
          <w:r w:rsidRPr="00A25AF7">
            <w:rPr>
              <w:rFonts w:ascii="Bliss Pro" w:hAnsi="Bliss Pro"/>
              <w:bCs/>
              <w:sz w:val="16"/>
              <w:szCs w:val="16"/>
            </w:rPr>
            <w:t>/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begin"/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instrText xml:space="preserve"> SECTIONPAGES  </w:instrTex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separate"/>
          </w:r>
          <w:r w:rsidR="007E4020">
            <w:rPr>
              <w:rFonts w:ascii="Bliss Pro" w:hAnsi="Bliss Pro"/>
              <w:bCs/>
              <w:noProof/>
              <w:sz w:val="16"/>
              <w:szCs w:val="16"/>
              <w:lang w:val="en-US"/>
            </w:rPr>
            <w:t>2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end"/>
          </w:r>
        </w:p>
        <w:p w:rsidR="0003489E" w:rsidRPr="00BD44CE" w:rsidRDefault="0003489E" w:rsidP="0003489E">
          <w:pPr>
            <w:pStyle w:val="ae"/>
            <w:jc w:val="center"/>
            <w:rPr>
              <w:sz w:val="8"/>
              <w:szCs w:val="8"/>
            </w:rPr>
          </w:pPr>
        </w:p>
      </w:tc>
    </w:tr>
  </w:tbl>
  <w:p w:rsidR="0003489E" w:rsidRPr="0003489E" w:rsidRDefault="0003489E">
    <w:pPr>
      <w:pStyle w:val="ae"/>
      <w:rPr>
        <w:rFonts w:ascii="Bliss Pro" w:hAnsi="Bliss Pr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5F65"/>
    <w:multiLevelType w:val="multilevel"/>
    <w:tmpl w:val="DD92E4F2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CF541C8"/>
    <w:multiLevelType w:val="hybridMultilevel"/>
    <w:tmpl w:val="AD8EACE2"/>
    <w:lvl w:ilvl="0" w:tplc="62F2496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48153D7"/>
    <w:multiLevelType w:val="multilevel"/>
    <w:tmpl w:val="0ABAF2D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ahoma" w:hAnsi="Tahoma" w:cs="Tahoma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4E4331CC"/>
    <w:multiLevelType w:val="hybridMultilevel"/>
    <w:tmpl w:val="1DD61ECC"/>
    <w:lvl w:ilvl="0" w:tplc="FF0E52D0">
      <w:start w:val="1"/>
      <w:numFmt w:val="bullet"/>
      <w:lvlText w:val="–"/>
      <w:lvlJc w:val="left"/>
      <w:pPr>
        <w:ind w:left="1429" w:hanging="360"/>
      </w:pPr>
      <w:rPr>
        <w:rFonts w:ascii="Bliss Pro" w:hAnsi="Bliss Pro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7A7144"/>
    <w:multiLevelType w:val="hybridMultilevel"/>
    <w:tmpl w:val="3B3E3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72"/>
    <w:rsid w:val="00001F72"/>
    <w:rsid w:val="0003489E"/>
    <w:rsid w:val="00056EE9"/>
    <w:rsid w:val="000672AD"/>
    <w:rsid w:val="000A757B"/>
    <w:rsid w:val="000C0039"/>
    <w:rsid w:val="000C5598"/>
    <w:rsid w:val="000E177E"/>
    <w:rsid w:val="00100BD8"/>
    <w:rsid w:val="00104556"/>
    <w:rsid w:val="00143255"/>
    <w:rsid w:val="00145CC3"/>
    <w:rsid w:val="00150AF9"/>
    <w:rsid w:val="00196FE1"/>
    <w:rsid w:val="001D1750"/>
    <w:rsid w:val="001D1C60"/>
    <w:rsid w:val="001D67CB"/>
    <w:rsid w:val="001F0356"/>
    <w:rsid w:val="00204DA9"/>
    <w:rsid w:val="00212EB3"/>
    <w:rsid w:val="002467C1"/>
    <w:rsid w:val="00254CAB"/>
    <w:rsid w:val="002619A6"/>
    <w:rsid w:val="00274E1C"/>
    <w:rsid w:val="002F1BFF"/>
    <w:rsid w:val="002F3F78"/>
    <w:rsid w:val="002F6873"/>
    <w:rsid w:val="00311F53"/>
    <w:rsid w:val="00337755"/>
    <w:rsid w:val="00351BAE"/>
    <w:rsid w:val="003573F6"/>
    <w:rsid w:val="003774C6"/>
    <w:rsid w:val="00380EF2"/>
    <w:rsid w:val="003C3B91"/>
    <w:rsid w:val="003D2AFF"/>
    <w:rsid w:val="0040716E"/>
    <w:rsid w:val="004456A6"/>
    <w:rsid w:val="00461C01"/>
    <w:rsid w:val="00477257"/>
    <w:rsid w:val="004B74F2"/>
    <w:rsid w:val="004F6B30"/>
    <w:rsid w:val="005745EE"/>
    <w:rsid w:val="006A638C"/>
    <w:rsid w:val="006F0272"/>
    <w:rsid w:val="0070254B"/>
    <w:rsid w:val="00767DB0"/>
    <w:rsid w:val="007C2733"/>
    <w:rsid w:val="007E4020"/>
    <w:rsid w:val="007F1AB4"/>
    <w:rsid w:val="00810A25"/>
    <w:rsid w:val="008175CC"/>
    <w:rsid w:val="008576B3"/>
    <w:rsid w:val="00872EF5"/>
    <w:rsid w:val="00886DB9"/>
    <w:rsid w:val="008C7F15"/>
    <w:rsid w:val="008D62A9"/>
    <w:rsid w:val="0090338A"/>
    <w:rsid w:val="00981316"/>
    <w:rsid w:val="009A2E02"/>
    <w:rsid w:val="009B4D68"/>
    <w:rsid w:val="009E2F79"/>
    <w:rsid w:val="009F0A19"/>
    <w:rsid w:val="00A15CF5"/>
    <w:rsid w:val="00A25AF7"/>
    <w:rsid w:val="00A36F42"/>
    <w:rsid w:val="00A432E6"/>
    <w:rsid w:val="00A6196E"/>
    <w:rsid w:val="00A65088"/>
    <w:rsid w:val="00A76FD1"/>
    <w:rsid w:val="00AA69C6"/>
    <w:rsid w:val="00AB29D1"/>
    <w:rsid w:val="00AD623B"/>
    <w:rsid w:val="00AE653E"/>
    <w:rsid w:val="00B11866"/>
    <w:rsid w:val="00B23B81"/>
    <w:rsid w:val="00B37F64"/>
    <w:rsid w:val="00B5656B"/>
    <w:rsid w:val="00B8583C"/>
    <w:rsid w:val="00B87337"/>
    <w:rsid w:val="00B90C3B"/>
    <w:rsid w:val="00BC4E6E"/>
    <w:rsid w:val="00BD3D9B"/>
    <w:rsid w:val="00BD44CE"/>
    <w:rsid w:val="00BF4125"/>
    <w:rsid w:val="00BF5B7C"/>
    <w:rsid w:val="00C1481C"/>
    <w:rsid w:val="00C9270C"/>
    <w:rsid w:val="00CB4CD2"/>
    <w:rsid w:val="00CD766E"/>
    <w:rsid w:val="00D322B2"/>
    <w:rsid w:val="00D41146"/>
    <w:rsid w:val="00DA090F"/>
    <w:rsid w:val="00DA716B"/>
    <w:rsid w:val="00DB41AA"/>
    <w:rsid w:val="00DF5A3F"/>
    <w:rsid w:val="00E32857"/>
    <w:rsid w:val="00E56F14"/>
    <w:rsid w:val="00EB26BF"/>
    <w:rsid w:val="00EC6E8B"/>
    <w:rsid w:val="00F20706"/>
    <w:rsid w:val="00F230AB"/>
    <w:rsid w:val="00F35689"/>
    <w:rsid w:val="00F42CC5"/>
    <w:rsid w:val="00F451F7"/>
    <w:rsid w:val="00F548A1"/>
    <w:rsid w:val="00F55385"/>
    <w:rsid w:val="00F8637F"/>
    <w:rsid w:val="00F866FB"/>
    <w:rsid w:val="00FD5928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122EB3-D894-4C40-83D4-95F5EAEF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8A"/>
    <w:pPr>
      <w:jc w:val="both"/>
    </w:pPr>
    <w:rPr>
      <w:rFonts w:eastAsia="Times New Roman"/>
      <w:sz w:val="22"/>
      <w:szCs w:val="22"/>
    </w:r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"/>
    <w:next w:val="a"/>
    <w:link w:val="10"/>
    <w:uiPriority w:val="9"/>
    <w:qFormat/>
    <w:rsid w:val="00886DB9"/>
    <w:pPr>
      <w:keepNext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38A"/>
    <w:pPr>
      <w:widowControl w:val="0"/>
      <w:autoSpaceDE w:val="0"/>
      <w:autoSpaceDN w:val="0"/>
      <w:jc w:val="both"/>
    </w:pPr>
    <w:rPr>
      <w:rFonts w:ascii="Arial" w:eastAsia="Times New Roman" w:hAnsi="Arial" w:cs="Arial"/>
      <w:szCs w:val="22"/>
    </w:rPr>
  </w:style>
  <w:style w:type="paragraph" w:styleId="a3">
    <w:name w:val="footnote text"/>
    <w:basedOn w:val="a"/>
    <w:link w:val="a4"/>
    <w:uiPriority w:val="99"/>
    <w:unhideWhenUsed/>
    <w:rsid w:val="0090338A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90338A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90338A"/>
    <w:rPr>
      <w:vertAlign w:val="superscript"/>
    </w:rPr>
  </w:style>
  <w:style w:type="character" w:styleId="a6">
    <w:name w:val="annotation reference"/>
    <w:uiPriority w:val="99"/>
    <w:unhideWhenUsed/>
    <w:qFormat/>
    <w:rsid w:val="0090338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338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90338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3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033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886D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0C003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C0039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72EF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348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3489E"/>
    <w:rPr>
      <w:rFonts w:eastAsia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0348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3489E"/>
    <w:rPr>
      <w:rFonts w:eastAsia="Times New Roman" w:cs="Times New Roman"/>
      <w:lang w:eastAsia="ru-RU"/>
    </w:rPr>
  </w:style>
  <w:style w:type="character" w:styleId="af2">
    <w:name w:val="Hyperlink"/>
    <w:uiPriority w:val="99"/>
    <w:unhideWhenUsed/>
    <w:rsid w:val="00B8583C"/>
    <w:rPr>
      <w:color w:val="EF4123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5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ogarant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nergogarant.ru/" TargetMode="External"/><Relationship Id="rId1" Type="http://schemas.openxmlformats.org/officeDocument/2006/relationships/hyperlink" Target="mailto:energy@msk-garan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s://energo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zenkova\Desktop\&#1057;&#1058;&#1056;&#1040;&#1061;&#1054;&#1042;&#1040;&#1053;&#1048;&#1045;\_&#1048;&#1055;&#1054;&#1058;&#1045;&#1050;&#1040;\&#1044;&#1054;&#1052;%20&#1056;&#1060;%202022\2023\&#1050;&#1048;&#1044;%206139-&#1059;%20&#1085;&#1072;%20&#1089;&#1086;&#1075;&#1083;&#1072;&#1089;&#1086;&#1074;&#1072;&#1085;&#1080;&#1077;%20&#1078;&#1080;&#1079;&#1085;&#1100;%20&#1048;&#1058;&#1054;&#1043;%20&#1089;%2015.06.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FB3E-F711-4839-BD8F-742B2BEE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КИД 6139-У на согласование жизнь ИТОГ с 15.06.2023</Template>
  <TotalTime>0</TotalTime>
  <Pages>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"Банк ДОМ.РФ"</Company>
  <LinksUpToDate>false</LinksUpToDate>
  <CharactersWithSpaces>8237</CharactersWithSpaces>
  <SharedDoc>false</SharedDoc>
  <HLinks>
    <vt:vector size="42" baseType="variant">
      <vt:variant>
        <vt:i4>7471137</vt:i4>
      </vt:variant>
      <vt:variant>
        <vt:i4>6</vt:i4>
      </vt:variant>
      <vt:variant>
        <vt:i4>0</vt:i4>
      </vt:variant>
      <vt:variant>
        <vt:i4>5</vt:i4>
      </vt:variant>
      <vt:variant>
        <vt:lpwstr>http://www.finombudsman.ru/</vt:lpwstr>
      </vt:variant>
      <vt:variant>
        <vt:lpwstr/>
      </vt:variant>
      <vt:variant>
        <vt:i4>7929961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consultantplus://offline/ref=3F14F139C63FBAAD026A17A0FBA3194A3E8BF4B0316F0780CD7103281D8142609CCF9C1E60346806BF5C2953D33B6EF33BE1BE66E0931B7AaCjBG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https://energogarant.ru/</vt:lpwstr>
      </vt:variant>
      <vt:variant>
        <vt:lpwstr/>
      </vt:variant>
      <vt:variant>
        <vt:i4>7078012</vt:i4>
      </vt:variant>
      <vt:variant>
        <vt:i4>9</vt:i4>
      </vt:variant>
      <vt:variant>
        <vt:i4>0</vt:i4>
      </vt:variant>
      <vt:variant>
        <vt:i4>5</vt:i4>
      </vt:variant>
      <vt:variant>
        <vt:lpwstr>http://energogarant.ru/</vt:lpwstr>
      </vt:variant>
      <vt:variant>
        <vt:lpwstr/>
      </vt:variant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mailto:energy@msk-garant.ru</vt:lpwstr>
      </vt:variant>
      <vt:variant>
        <vt:lpwstr/>
      </vt:variant>
      <vt:variant>
        <vt:i4>4915207</vt:i4>
      </vt:variant>
      <vt:variant>
        <vt:i4>-1</vt:i4>
      </vt:variant>
      <vt:variant>
        <vt:i4>2050</vt:i4>
      </vt:variant>
      <vt:variant>
        <vt:i4>4</vt:i4>
      </vt:variant>
      <vt:variant>
        <vt:lpwstr>https://energogarant.ru/</vt:lpwstr>
      </vt:variant>
      <vt:variant>
        <vt:lpwstr/>
      </vt:variant>
      <vt:variant>
        <vt:i4>8061043</vt:i4>
      </vt:variant>
      <vt:variant>
        <vt:i4>-1</vt:i4>
      </vt:variant>
      <vt:variant>
        <vt:i4>1026</vt:i4>
      </vt:variant>
      <vt:variant>
        <vt:i4>4</vt:i4>
      </vt:variant>
      <vt:variant>
        <vt:lpwstr>https://energogarant.ru/about/shareholders/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 Ирина Анатольевна</dc:creator>
  <cp:lastModifiedBy>Арбекова Елена Сергеевна</cp:lastModifiedBy>
  <cp:revision>2</cp:revision>
  <dcterms:created xsi:type="dcterms:W3CDTF">2025-04-09T13:23:00Z</dcterms:created>
  <dcterms:modified xsi:type="dcterms:W3CDTF">2025-04-09T13:23:00Z</dcterms:modified>
</cp:coreProperties>
</file>