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541"/>
        <w:gridCol w:w="555"/>
        <w:gridCol w:w="3222"/>
        <w:gridCol w:w="963"/>
        <w:gridCol w:w="349"/>
        <w:gridCol w:w="389"/>
        <w:gridCol w:w="2621"/>
      </w:tblGrid>
      <w:tr w:rsidR="00087B18" w:rsidRPr="009E0380" w14:paraId="3F7D1962" w14:textId="77777777" w:rsidTr="00D03D2A">
        <w:trPr>
          <w:trHeight w:val="463"/>
        </w:trPr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1EACC" w14:textId="77777777" w:rsidR="00087B18" w:rsidRPr="0024684B" w:rsidRDefault="00087B18" w:rsidP="0024684B">
            <w:pPr>
              <w:pStyle w:val="a4"/>
              <w:contextualSpacing/>
              <w:jc w:val="center"/>
              <w:rPr>
                <w:rFonts w:ascii="Arial" w:hAnsi="Arial" w:cs="Arial"/>
                <w:b/>
              </w:rPr>
            </w:pPr>
            <w:r w:rsidRPr="0024684B">
              <w:rPr>
                <w:rFonts w:ascii="Arial" w:hAnsi="Arial" w:cs="Arial"/>
                <w:b/>
              </w:rPr>
              <w:t>Ключевой информационный документ</w:t>
            </w:r>
          </w:p>
          <w:p w14:paraId="6C294A94" w14:textId="77777777" w:rsidR="00087B18" w:rsidRPr="0024684B" w:rsidRDefault="00087B18" w:rsidP="0024684B">
            <w:pPr>
              <w:pStyle w:val="a4"/>
              <w:contextualSpacing/>
              <w:jc w:val="center"/>
              <w:rPr>
                <w:rFonts w:ascii="Arial" w:hAnsi="Arial" w:cs="Arial"/>
                <w:b/>
              </w:rPr>
            </w:pPr>
            <w:r w:rsidRPr="0024684B">
              <w:rPr>
                <w:rFonts w:ascii="Arial" w:hAnsi="Arial" w:cs="Arial"/>
                <w:b/>
              </w:rPr>
              <w:t>об условиях договора добровольного страхования</w:t>
            </w:r>
          </w:p>
        </w:tc>
        <w:tc>
          <w:tcPr>
            <w:tcW w:w="301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E020B6C" w14:textId="1739E77B" w:rsidR="00087B18" w:rsidRPr="0024684B" w:rsidRDefault="00C05255" w:rsidP="00D03D2A">
            <w:pPr>
              <w:pStyle w:val="a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5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F064B4" wp14:editId="53803FB5">
                  <wp:extent cx="1609358" cy="1609358"/>
                  <wp:effectExtent l="0" t="0" r="0" b="0"/>
                  <wp:docPr id="2" name="Рисунок 2" descr="Q:\RUZ-MSK-UW-PD\Струнин Алексей\КИДы АО\правила иж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:\RUZ-MSK-UW-PD\Струнин Алексей\КИДы АО\правила иж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000" cy="16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B1B" w:rsidRPr="009E0380" w14:paraId="1A3AC1FC" w14:textId="77777777" w:rsidTr="002F71CE">
        <w:trPr>
          <w:trHeight w:val="221"/>
        </w:trPr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29ACF" w14:textId="4825DCC3" w:rsidR="004C0B1B" w:rsidRPr="0024684B" w:rsidRDefault="004C0B1B" w:rsidP="004C0B1B">
            <w:pPr>
              <w:pStyle w:val="a4"/>
              <w:contextualSpacing/>
              <w:jc w:val="center"/>
              <w:rPr>
                <w:rFonts w:ascii="Arial" w:hAnsi="Arial" w:cs="Arial"/>
                <w:b/>
              </w:rPr>
            </w:pPr>
            <w:r w:rsidRPr="004C0B1B">
              <w:rPr>
                <w:rFonts w:ascii="Arial" w:hAnsi="Arial" w:cs="Arial"/>
                <w:b/>
              </w:rPr>
              <w:t>недвижимого имущества</w:t>
            </w:r>
          </w:p>
        </w:tc>
        <w:tc>
          <w:tcPr>
            <w:tcW w:w="3010" w:type="dxa"/>
            <w:gridSpan w:val="2"/>
            <w:vMerge/>
            <w:tcBorders>
              <w:left w:val="single" w:sz="4" w:space="0" w:color="auto"/>
            </w:tcBorders>
          </w:tcPr>
          <w:p w14:paraId="12A9E173" w14:textId="77777777" w:rsidR="004C0B1B" w:rsidRPr="0024684B" w:rsidRDefault="004C0B1B" w:rsidP="0024684B">
            <w:pPr>
              <w:pStyle w:val="a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B18" w:rsidRPr="009E0380" w14:paraId="5538B3DD" w14:textId="77777777" w:rsidTr="00D03D2A">
        <w:trPr>
          <w:trHeight w:val="57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5B30A5C7" w14:textId="77777777" w:rsidR="00087B18" w:rsidRPr="0024684B" w:rsidRDefault="00087B18" w:rsidP="0024684B">
            <w:pPr>
              <w:pStyle w:val="a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54BD33" w14:textId="77777777" w:rsidR="00087B18" w:rsidRPr="0024684B" w:rsidRDefault="00087B18" w:rsidP="0024684B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B3BAB" w14:textId="77777777" w:rsidR="00087B18" w:rsidRPr="0024684B" w:rsidRDefault="00087B18" w:rsidP="0024684B">
            <w:pPr>
              <w:pStyle w:val="a4"/>
              <w:contextualSpacing/>
              <w:rPr>
                <w:rFonts w:ascii="Arial" w:hAnsi="Arial" w:cs="Arial"/>
              </w:rPr>
            </w:pPr>
          </w:p>
        </w:tc>
        <w:tc>
          <w:tcPr>
            <w:tcW w:w="3010" w:type="dxa"/>
            <w:gridSpan w:val="2"/>
            <w:vMerge/>
            <w:tcBorders>
              <w:left w:val="single" w:sz="4" w:space="0" w:color="auto"/>
            </w:tcBorders>
          </w:tcPr>
          <w:p w14:paraId="685D0FEC" w14:textId="77777777" w:rsidR="00087B18" w:rsidRPr="0024684B" w:rsidRDefault="00087B18" w:rsidP="0024684B">
            <w:pPr>
              <w:pStyle w:val="a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871" w:rsidRPr="009E0380" w14:paraId="59AB41B0" w14:textId="77777777" w:rsidTr="008B48F4">
        <w:trPr>
          <w:trHeight w:val="443"/>
        </w:trPr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44D11" w14:textId="77777777" w:rsidR="00754AAA" w:rsidRDefault="00024871" w:rsidP="00BA258F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24684B">
              <w:rPr>
                <w:rFonts w:ascii="Arial" w:hAnsi="Arial" w:cs="Arial"/>
              </w:rPr>
              <w:t>подготовлен на основании</w:t>
            </w:r>
            <w:r w:rsidRPr="00D03D2A">
              <w:rPr>
                <w:rFonts w:ascii="Arial" w:hAnsi="Arial" w:cs="Arial"/>
              </w:rPr>
              <w:t xml:space="preserve"> Правил ипо</w:t>
            </w:r>
            <w:r w:rsidR="00E34B6E">
              <w:rPr>
                <w:rFonts w:ascii="Arial" w:hAnsi="Arial" w:cs="Arial"/>
              </w:rPr>
              <w:t>течного жилищного страхования АО «Зетта Страхование»</w:t>
            </w:r>
            <w:r w:rsidR="00754AAA" w:rsidRPr="00754AAA">
              <w:rPr>
                <w:rFonts w:ascii="Arial" w:hAnsi="Arial" w:cs="Arial"/>
              </w:rPr>
              <w:t xml:space="preserve">, утвержденных приказом Генерального директора </w:t>
            </w:r>
          </w:p>
          <w:p w14:paraId="7B590B09" w14:textId="06717579" w:rsidR="00024871" w:rsidRPr="0024684B" w:rsidRDefault="00754AAA" w:rsidP="00BA258F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54AAA">
              <w:rPr>
                <w:rFonts w:ascii="Arial" w:hAnsi="Arial" w:cs="Arial"/>
              </w:rPr>
              <w:t>от 15.05.2024 № 52</w:t>
            </w:r>
            <w:r w:rsidRPr="00D03D2A">
              <w:rPr>
                <w:rFonts w:ascii="Arial" w:hAnsi="Arial" w:cs="Arial"/>
              </w:rPr>
              <w:t xml:space="preserve"> </w:t>
            </w:r>
            <w:r w:rsidR="00024871" w:rsidRPr="00D03D2A">
              <w:rPr>
                <w:rFonts w:ascii="Arial" w:hAnsi="Arial" w:cs="Arial"/>
              </w:rPr>
              <w:t>(далее - Правила страхования)</w:t>
            </w:r>
          </w:p>
        </w:tc>
        <w:tc>
          <w:tcPr>
            <w:tcW w:w="3010" w:type="dxa"/>
            <w:gridSpan w:val="2"/>
            <w:vMerge/>
            <w:tcBorders>
              <w:left w:val="single" w:sz="4" w:space="0" w:color="auto"/>
            </w:tcBorders>
          </w:tcPr>
          <w:p w14:paraId="22094BBC" w14:textId="77777777" w:rsidR="00024871" w:rsidRPr="0024684B" w:rsidRDefault="00024871" w:rsidP="00024871">
            <w:pPr>
              <w:pStyle w:val="a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B18" w:rsidRPr="009E0380" w14:paraId="4730916E" w14:textId="77777777" w:rsidTr="008B48F4">
        <w:trPr>
          <w:trHeight w:val="7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1A03E757" w14:textId="77777777" w:rsidR="00087B18" w:rsidRPr="0024684B" w:rsidRDefault="00087B18" w:rsidP="0024684B">
            <w:pPr>
              <w:pStyle w:val="a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A563" w14:textId="77777777" w:rsidR="00087B18" w:rsidRPr="0024684B" w:rsidRDefault="00087B18" w:rsidP="0024684B">
            <w:pPr>
              <w:pStyle w:val="a4"/>
              <w:contextualSpacing/>
              <w:rPr>
                <w:rFonts w:ascii="Arial" w:hAnsi="Arial" w:cs="Arial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B83F4" w14:textId="77777777" w:rsidR="00087B18" w:rsidRPr="0024684B" w:rsidRDefault="00087B18" w:rsidP="0024684B">
            <w:pPr>
              <w:pStyle w:val="a4"/>
              <w:contextualSpacing/>
              <w:rPr>
                <w:rFonts w:ascii="Arial" w:hAnsi="Arial" w:cs="Aria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2224D" w14:textId="77777777" w:rsidR="00087B18" w:rsidRPr="0024684B" w:rsidRDefault="00087B18" w:rsidP="0024684B">
            <w:pPr>
              <w:pStyle w:val="a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Merge/>
            <w:tcBorders>
              <w:left w:val="single" w:sz="4" w:space="0" w:color="auto"/>
            </w:tcBorders>
          </w:tcPr>
          <w:p w14:paraId="061AA4CA" w14:textId="77777777" w:rsidR="00087B18" w:rsidRPr="0024684B" w:rsidRDefault="00087B18" w:rsidP="0024684B">
            <w:pPr>
              <w:pStyle w:val="a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2D" w:rsidRPr="005D147B" w14:paraId="46A5DDF8" w14:textId="77777777" w:rsidTr="00F2750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74" w:type="dxa"/>
            <w:gridSpan w:val="2"/>
            <w:vAlign w:val="center"/>
          </w:tcPr>
          <w:p w14:paraId="3DDCCCF0" w14:textId="77777777" w:rsidR="003F4D2D" w:rsidRPr="005D147B" w:rsidRDefault="003F4D2D" w:rsidP="003F4D2D">
            <w:pPr>
              <w:pStyle w:val="a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4B0F">
              <w:rPr>
                <w:rFonts w:ascii="Arial" w:hAnsi="Arial" w:cs="Arial"/>
                <w:b/>
                <w:sz w:val="20"/>
                <w:szCs w:val="20"/>
              </w:rPr>
              <w:t>Страховщик</w:t>
            </w:r>
            <w:r w:rsidRPr="005D147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99" w:type="dxa"/>
            <w:gridSpan w:val="6"/>
            <w:vAlign w:val="center"/>
          </w:tcPr>
          <w:p w14:paraId="0B2D21A3" w14:textId="6AD0DB07" w:rsidR="00D03D2A" w:rsidRPr="005D147B" w:rsidRDefault="00E34B6E" w:rsidP="00D03D2A">
            <w:pPr>
              <w:pStyle w:val="a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Акционерное о</w:t>
            </w:r>
            <w:r w:rsidR="00D03D2A" w:rsidRPr="005D147B">
              <w:rPr>
                <w:rFonts w:ascii="Arial" w:hAnsi="Arial" w:cs="Arial"/>
                <w:sz w:val="20"/>
                <w:szCs w:val="20"/>
              </w:rPr>
              <w:t xml:space="preserve">бщество </w:t>
            </w:r>
            <w:r>
              <w:rPr>
                <w:rFonts w:ascii="Arial" w:hAnsi="Arial" w:cs="Arial"/>
                <w:sz w:val="20"/>
                <w:szCs w:val="20"/>
              </w:rPr>
              <w:t>«Зетта Страхование»</w:t>
            </w:r>
            <w:r w:rsidR="00D03D2A" w:rsidRPr="005D14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7723D2" w14:textId="684334A2" w:rsidR="003F4D2D" w:rsidRPr="005D147B" w:rsidRDefault="00AD4FD1" w:rsidP="00E34B6E">
            <w:pPr>
              <w:pStyle w:val="a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D4FD1">
              <w:rPr>
                <w:rFonts w:ascii="Arial" w:hAnsi="Arial" w:cs="Arial"/>
                <w:sz w:val="20"/>
                <w:szCs w:val="20"/>
              </w:rPr>
              <w:t>115184, город Москва, наб. Озерковская, д. 30</w:t>
            </w:r>
          </w:p>
        </w:tc>
      </w:tr>
      <w:tr w:rsidR="008B48F4" w:rsidRPr="005D147B" w14:paraId="631E1A72" w14:textId="77777777" w:rsidTr="006061A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6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97518" w14:textId="1A0393F8" w:rsidR="008B48F4" w:rsidRPr="005D147B" w:rsidRDefault="008B48F4" w:rsidP="008B48F4">
            <w:pPr>
              <w:pStyle w:val="a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sub_1100"/>
            <w:bookmarkEnd w:id="1"/>
            <w:r w:rsidRPr="005D147B">
              <w:rPr>
                <w:rFonts w:ascii="Arial" w:hAnsi="Arial" w:cs="Arial"/>
                <w:b/>
                <w:sz w:val="20"/>
                <w:szCs w:val="20"/>
              </w:rPr>
              <w:t>Раздел I. ЧТО ЗАСТРАХОВАНО?</w:t>
            </w:r>
          </w:p>
        </w:tc>
      </w:tr>
      <w:tr w:rsidR="008B48F4" w:rsidRPr="005D147B" w14:paraId="104A1B31" w14:textId="77777777" w:rsidTr="00D3595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91"/>
        </w:trPr>
        <w:tc>
          <w:tcPr>
            <w:tcW w:w="9673" w:type="dxa"/>
            <w:gridSpan w:val="8"/>
            <w:tcBorders>
              <w:top w:val="single" w:sz="4" w:space="0" w:color="auto"/>
            </w:tcBorders>
          </w:tcPr>
          <w:p w14:paraId="0F04AE12" w14:textId="77777777" w:rsidR="00D35952" w:rsidRDefault="008B48F4" w:rsidP="00D35952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5D147B">
              <w:rPr>
                <w:rFonts w:ascii="Arial" w:eastAsia="Times New Roman" w:hAnsi="Arial" w:cs="Arial"/>
                <w:sz w:val="20"/>
                <w:szCs w:val="20"/>
              </w:rPr>
              <w:t xml:space="preserve">1. </w:t>
            </w:r>
            <w:r w:rsidRPr="009D4E6B">
              <w:rPr>
                <w:rFonts w:ascii="Arial" w:eastAsia="Times New Roman" w:hAnsi="Arial" w:cs="Arial"/>
                <w:b/>
                <w:sz w:val="20"/>
                <w:szCs w:val="20"/>
              </w:rPr>
              <w:t>Утрата (гибель) или повреждение застрахованного имущества</w:t>
            </w:r>
            <w:r w:rsidRPr="005D147B">
              <w:rPr>
                <w:rFonts w:ascii="Arial" w:eastAsia="Times New Roman" w:hAnsi="Arial" w:cs="Arial"/>
                <w:sz w:val="20"/>
                <w:szCs w:val="20"/>
              </w:rPr>
              <w:t xml:space="preserve"> (кроме земельного участка) в результате наступления причин в соответствии с п. 2.4.2 </w:t>
            </w:r>
            <w:r w:rsidR="00D35952" w:rsidRPr="005D147B">
              <w:rPr>
                <w:rFonts w:ascii="Arial" w:eastAsia="Times New Roman" w:hAnsi="Arial" w:cs="Arial"/>
                <w:sz w:val="20"/>
                <w:szCs w:val="20"/>
              </w:rPr>
              <w:t>Правил.</w:t>
            </w:r>
          </w:p>
          <w:p w14:paraId="4196A54E" w14:textId="77777777" w:rsidR="00D35952" w:rsidRPr="005D147B" w:rsidRDefault="00D35952" w:rsidP="00D35952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634C4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2" w:name="ТекстовоеПоле1"/>
            <w:r w:rsidRPr="00634C4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634C44">
              <w:rPr>
                <w:rFonts w:ascii="Arial" w:eastAsia="Times New Roman" w:hAnsi="Arial" w:cs="Arial"/>
                <w:color w:val="FF0000"/>
                <w:sz w:val="20"/>
                <w:szCs w:val="20"/>
              </w:rPr>
            </w:r>
            <w:r w:rsidRPr="00634C4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fldChar w:fldCharType="separate"/>
            </w:r>
            <w:r w:rsidRPr="00634C4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В случае страхования земельного участка:</w:t>
            </w:r>
            <w:r w:rsidRPr="00634C4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fldChar w:fldCharType="end"/>
            </w:r>
            <w:bookmarkEnd w:id="2"/>
          </w:p>
          <w:p w14:paraId="6D5C7D91" w14:textId="6B5B4A74" w:rsidR="008B48F4" w:rsidRPr="005D147B" w:rsidRDefault="00D35952" w:rsidP="00D3595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6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3" w:name="ТекстовоеПоле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Ут</w:t>
            </w:r>
            <w:r w:rsidRPr="005D147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рата (гибель) или повреждение земельного участка </w:t>
            </w:r>
            <w:r w:rsidRPr="005D147B">
              <w:rPr>
                <w:rFonts w:ascii="Arial" w:eastAsia="Times New Roman" w:hAnsi="Arial" w:cs="Arial"/>
                <w:i/>
                <w:sz w:val="20"/>
                <w:szCs w:val="20"/>
              </w:rPr>
              <w:t>в результате наступления причин в соответствии с п. 2.4.3 Правил (при страховании земельного участка).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B48F4" w:rsidRPr="009E0380" w14:paraId="3421B961" w14:textId="77777777" w:rsidTr="006061A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6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1F2F1" w14:textId="77777777" w:rsidR="008B48F4" w:rsidRPr="0024684B" w:rsidRDefault="008B48F4" w:rsidP="008B48F4">
            <w:pPr>
              <w:pStyle w:val="1"/>
              <w:spacing w:before="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4" w:name="sub_1200"/>
            <w:bookmarkEnd w:id="4"/>
            <w:r w:rsidRPr="0024684B">
              <w:rPr>
                <w:rFonts w:ascii="Arial" w:hAnsi="Arial" w:cs="Arial"/>
                <w:sz w:val="20"/>
                <w:szCs w:val="20"/>
              </w:rPr>
              <w:t>Раздел II. ЧТО НЕ ЗАСТРАХОВАНО?</w:t>
            </w:r>
          </w:p>
        </w:tc>
      </w:tr>
      <w:tr w:rsidR="00B026F8" w:rsidRPr="009E0380" w14:paraId="44C59671" w14:textId="77777777" w:rsidTr="008B48F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73" w:type="dxa"/>
            <w:gridSpan w:val="8"/>
            <w:tcBorders>
              <w:top w:val="nil"/>
              <w:bottom w:val="single" w:sz="4" w:space="0" w:color="auto"/>
            </w:tcBorders>
          </w:tcPr>
          <w:p w14:paraId="5E908DC7" w14:textId="77777777" w:rsidR="00B026F8" w:rsidRPr="0024684B" w:rsidRDefault="00B026F8" w:rsidP="0024684B">
            <w:pPr>
              <w:tabs>
                <w:tab w:val="left" w:pos="1134"/>
              </w:tabs>
              <w:autoSpaceDE/>
              <w:autoSpaceDN/>
              <w:adjustRightInd/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1. Страховщик вправе отказать в страховой выплате в случаях:</w:t>
            </w:r>
          </w:p>
          <w:p w14:paraId="6A9BEE92" w14:textId="77777777" w:rsidR="00B026F8" w:rsidRPr="0024684B" w:rsidRDefault="00B026F8" w:rsidP="0024684B">
            <w:pPr>
              <w:pStyle w:val="2"/>
              <w:numPr>
                <w:ilvl w:val="2"/>
                <w:numId w:val="4"/>
              </w:numPr>
              <w:tabs>
                <w:tab w:val="left" w:pos="210"/>
                <w:tab w:val="left" w:pos="1283"/>
              </w:tabs>
              <w:autoSpaceDE/>
              <w:autoSpaceDN/>
              <w:adjustRightInd/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Если лицо, предъявившее требование о страховой выплате, не является Страхователем, Выгодоприобретателем или представителем кого-либо из этих лиц.</w:t>
            </w:r>
          </w:p>
          <w:p w14:paraId="7B1C4ABA" w14:textId="77777777" w:rsidR="00B026F8" w:rsidRPr="0024684B" w:rsidRDefault="00B026F8" w:rsidP="0024684B">
            <w:pPr>
              <w:pStyle w:val="2"/>
              <w:numPr>
                <w:ilvl w:val="2"/>
                <w:numId w:val="4"/>
              </w:numPr>
              <w:tabs>
                <w:tab w:val="left" w:pos="210"/>
                <w:tab w:val="left" w:pos="1283"/>
              </w:tabs>
              <w:autoSpaceDE/>
              <w:autoSpaceDN/>
              <w:adjustRightInd/>
              <w:spacing w:after="0" w:line="240" w:lineRule="auto"/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Если заявленное событие (убыток) в действительности не имело места или не подтверждено соответствующими документами.</w:t>
            </w:r>
          </w:p>
          <w:p w14:paraId="076BACCC" w14:textId="77777777" w:rsidR="00B026F8" w:rsidRPr="0024684B" w:rsidRDefault="00B026F8" w:rsidP="0024684B">
            <w:pPr>
              <w:pStyle w:val="2"/>
              <w:numPr>
                <w:ilvl w:val="2"/>
                <w:numId w:val="4"/>
              </w:numPr>
              <w:tabs>
                <w:tab w:val="left" w:pos="210"/>
                <w:tab w:val="left" w:pos="1283"/>
              </w:tabs>
              <w:autoSpaceDE/>
              <w:autoSpaceDN/>
              <w:adjustRightInd/>
              <w:spacing w:after="0" w:line="240" w:lineRule="auto"/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Если наступившее событие признано не страховым случаем в соответствии с условиями страхования.</w:t>
            </w:r>
          </w:p>
          <w:p w14:paraId="48D0BEE3" w14:textId="77777777" w:rsidR="00B026F8" w:rsidRPr="0024684B" w:rsidRDefault="00B026F8" w:rsidP="0024684B">
            <w:pPr>
              <w:pStyle w:val="2"/>
              <w:numPr>
                <w:ilvl w:val="2"/>
                <w:numId w:val="4"/>
              </w:numPr>
              <w:tabs>
                <w:tab w:val="left" w:pos="210"/>
                <w:tab w:val="left" w:pos="1283"/>
              </w:tabs>
              <w:autoSpaceDE/>
              <w:autoSpaceDN/>
              <w:adjustRightInd/>
              <w:spacing w:after="0" w:line="240" w:lineRule="auto"/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Если имеются основания для освобождения Страховщика от страховой выплаты, предусмотренные законодательством Российской Федерации.</w:t>
            </w:r>
          </w:p>
          <w:p w14:paraId="0B37EDD3" w14:textId="77777777" w:rsidR="00B026F8" w:rsidRPr="0024684B" w:rsidRDefault="00B026F8" w:rsidP="0024684B">
            <w:pPr>
              <w:pStyle w:val="2"/>
              <w:numPr>
                <w:ilvl w:val="2"/>
                <w:numId w:val="4"/>
              </w:numPr>
              <w:tabs>
                <w:tab w:val="left" w:pos="210"/>
                <w:tab w:val="left" w:pos="1283"/>
              </w:tabs>
              <w:autoSpaceDE/>
              <w:autoSpaceDN/>
              <w:adjustRightInd/>
              <w:spacing w:after="0" w:line="240" w:lineRule="auto"/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Если убыток полностью возмещен третьими лицами.</w:t>
            </w:r>
          </w:p>
          <w:p w14:paraId="7BAB6594" w14:textId="77777777" w:rsidR="00B026F8" w:rsidRPr="0024684B" w:rsidRDefault="00B026F8" w:rsidP="0024684B">
            <w:pPr>
              <w:pStyle w:val="2"/>
              <w:numPr>
                <w:ilvl w:val="2"/>
                <w:numId w:val="4"/>
              </w:numPr>
              <w:tabs>
                <w:tab w:val="left" w:pos="210"/>
                <w:tab w:val="left" w:pos="1283"/>
              </w:tabs>
              <w:autoSpaceDE/>
              <w:autoSpaceDN/>
              <w:adjustRightInd/>
              <w:spacing w:after="0" w:line="240" w:lineRule="auto"/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Если Страхователь (Выгодоприобретатель) после того, как ему стало известно о наступлении страхового случая, не уведомил о его наступлении Страховщика или его представителя не позднее 3 (трех) рабочих дней, если не будет доказано,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произвести страховую выплату.</w:t>
            </w:r>
          </w:p>
          <w:p w14:paraId="7964EC3A" w14:textId="77777777" w:rsidR="00B026F8" w:rsidRPr="0024684B" w:rsidRDefault="00B026F8" w:rsidP="0024684B">
            <w:pPr>
              <w:pStyle w:val="2"/>
              <w:numPr>
                <w:ilvl w:val="2"/>
                <w:numId w:val="4"/>
              </w:numPr>
              <w:tabs>
                <w:tab w:val="left" w:pos="210"/>
                <w:tab w:val="left" w:pos="1283"/>
              </w:tabs>
              <w:autoSpaceDE/>
              <w:autoSpaceDN/>
              <w:adjustRightInd/>
              <w:spacing w:after="0" w:line="240" w:lineRule="auto"/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Если Страхователь (Выгодоприобретатель) отказался от своего права требования к лицу, ответственному за убытки, возмещенные Страховщиком, или осуществление этого права стало невозможным по вине Страхователя (Выгодоприобретателя), Страховщик освобождается от страховой выплаты полностью или в соответствующей части и вправе потребовать возврата излишне выплаченной суммы страховой выплаты.</w:t>
            </w:r>
          </w:p>
          <w:p w14:paraId="2FC76AE0" w14:textId="77777777" w:rsidR="00B026F8" w:rsidRPr="0024684B" w:rsidRDefault="00B026F8" w:rsidP="0024684B">
            <w:pPr>
              <w:pStyle w:val="2"/>
              <w:numPr>
                <w:ilvl w:val="2"/>
                <w:numId w:val="4"/>
              </w:numPr>
              <w:tabs>
                <w:tab w:val="left" w:pos="210"/>
                <w:tab w:val="left" w:pos="1283"/>
              </w:tabs>
              <w:autoSpaceDE/>
              <w:autoSpaceDN/>
              <w:adjustRightInd/>
              <w:spacing w:after="0" w:line="240" w:lineRule="auto"/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В иных случаях, предусмотренных Гражданским кодексом Российской Федерации.</w:t>
            </w:r>
          </w:p>
          <w:p w14:paraId="3D72C671" w14:textId="64166E00" w:rsidR="00B026F8" w:rsidRPr="0024684B" w:rsidRDefault="00B026F8" w:rsidP="0024684B">
            <w:pPr>
              <w:tabs>
                <w:tab w:val="left" w:pos="1701"/>
              </w:tabs>
              <w:ind w:firstLine="0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4684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 Страховщик освобождается от страховой выплаты, если страховой случай наступил в случае:</w:t>
            </w:r>
          </w:p>
          <w:p w14:paraId="22A41693" w14:textId="77777777" w:rsidR="00B026F8" w:rsidRPr="0024684B" w:rsidRDefault="00B026F8" w:rsidP="0024684B">
            <w:pPr>
              <w:pStyle w:val="2"/>
              <w:numPr>
                <w:ilvl w:val="2"/>
                <w:numId w:val="4"/>
              </w:numPr>
              <w:tabs>
                <w:tab w:val="left" w:pos="210"/>
                <w:tab w:val="left" w:pos="1283"/>
              </w:tabs>
              <w:autoSpaceDE/>
              <w:autoSpaceDN/>
              <w:adjustRightInd/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Воздействия ядерного взрыва, радиации или радиоактивного заражения.</w:t>
            </w:r>
          </w:p>
          <w:p w14:paraId="5E643E48" w14:textId="604080A2" w:rsidR="00B026F8" w:rsidRPr="0024684B" w:rsidRDefault="00B026F8" w:rsidP="0024684B">
            <w:pPr>
              <w:pStyle w:val="2"/>
              <w:numPr>
                <w:ilvl w:val="2"/>
                <w:numId w:val="4"/>
              </w:numPr>
              <w:tabs>
                <w:tab w:val="left" w:pos="210"/>
                <w:tab w:val="left" w:pos="1283"/>
              </w:tabs>
              <w:autoSpaceDE/>
              <w:autoSpaceDN/>
              <w:adjustRightInd/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Военных действий, а также маневров или иных военных мероприятий.</w:t>
            </w:r>
          </w:p>
          <w:p w14:paraId="5BB012A9" w14:textId="77777777" w:rsidR="00B026F8" w:rsidRPr="0024684B" w:rsidRDefault="00B026F8" w:rsidP="0024684B">
            <w:pPr>
              <w:pStyle w:val="2"/>
              <w:numPr>
                <w:ilvl w:val="2"/>
                <w:numId w:val="4"/>
              </w:numPr>
              <w:tabs>
                <w:tab w:val="left" w:pos="210"/>
                <w:tab w:val="left" w:pos="1283"/>
              </w:tabs>
              <w:autoSpaceDE/>
              <w:autoSpaceDN/>
              <w:adjustRightInd/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Гражданской войны, народных волнений всякого рода или забастовок.</w:t>
            </w:r>
          </w:p>
          <w:p w14:paraId="04E7C204" w14:textId="77777777" w:rsidR="00B026F8" w:rsidRPr="0024684B" w:rsidRDefault="00B026F8" w:rsidP="0024684B">
            <w:pPr>
              <w:pStyle w:val="2"/>
              <w:numPr>
                <w:ilvl w:val="2"/>
                <w:numId w:val="4"/>
              </w:numPr>
              <w:tabs>
                <w:tab w:val="left" w:pos="210"/>
                <w:tab w:val="left" w:pos="1283"/>
              </w:tabs>
              <w:autoSpaceDE/>
              <w:autoSpaceDN/>
              <w:adjustRightInd/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Изъятия, конфискации, реквизиции, ареста или уничтожения застрахованного имущества по распоряжению государственных органов.</w:t>
            </w:r>
          </w:p>
          <w:p w14:paraId="6916C610" w14:textId="77777777" w:rsidR="00B026F8" w:rsidRPr="0024684B" w:rsidRDefault="00B026F8" w:rsidP="0024684B">
            <w:pPr>
              <w:pStyle w:val="2"/>
              <w:numPr>
                <w:ilvl w:val="2"/>
                <w:numId w:val="4"/>
              </w:numPr>
              <w:tabs>
                <w:tab w:val="left" w:pos="210"/>
                <w:tab w:val="left" w:pos="1283"/>
              </w:tabs>
              <w:autoSpaceDE/>
              <w:autoSpaceDN/>
              <w:adjustRightInd/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Умысла Страхователя (Застрахованного лица), Выгодоприобретателя, за исключением случаев, предусмотренных действующим законодательством Российской Федерации.</w:t>
            </w:r>
          </w:p>
          <w:p w14:paraId="09C7F7F6" w14:textId="62D68611" w:rsidR="00227967" w:rsidRDefault="00B026F8" w:rsidP="0024684B">
            <w:pPr>
              <w:pStyle w:val="a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3. События не признаются страховыми</w:t>
            </w:r>
            <w:r w:rsidR="00227967">
              <w:rPr>
                <w:rFonts w:ascii="Arial" w:hAnsi="Arial" w:cs="Arial"/>
                <w:sz w:val="20"/>
                <w:szCs w:val="20"/>
              </w:rPr>
              <w:t xml:space="preserve"> случаями по страхованию имущества</w:t>
            </w:r>
            <w:r w:rsidRPr="0024684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27967">
              <w:rPr>
                <w:rFonts w:ascii="Arial" w:hAnsi="Arial" w:cs="Arial"/>
                <w:sz w:val="20"/>
                <w:szCs w:val="20"/>
              </w:rPr>
              <w:t>если</w:t>
            </w:r>
            <w:r w:rsidR="00227967" w:rsidRPr="00246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684B">
              <w:rPr>
                <w:rFonts w:ascii="Arial" w:hAnsi="Arial" w:cs="Arial"/>
                <w:sz w:val="20"/>
                <w:szCs w:val="20"/>
              </w:rPr>
              <w:t xml:space="preserve">они произошли вследствие </w:t>
            </w:r>
            <w:r w:rsidR="00227967">
              <w:rPr>
                <w:rFonts w:ascii="Arial" w:hAnsi="Arial" w:cs="Arial"/>
                <w:sz w:val="20"/>
                <w:szCs w:val="20"/>
              </w:rPr>
              <w:t xml:space="preserve">следующих </w:t>
            </w:r>
            <w:r w:rsidRPr="0024684B">
              <w:rPr>
                <w:rFonts w:ascii="Arial" w:hAnsi="Arial" w:cs="Arial"/>
                <w:sz w:val="20"/>
                <w:szCs w:val="20"/>
              </w:rPr>
              <w:t>обстоятельств</w:t>
            </w:r>
            <w:r w:rsidRPr="002468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4684B">
              <w:rPr>
                <w:rFonts w:ascii="Arial" w:hAnsi="Arial" w:cs="Arial"/>
                <w:sz w:val="20"/>
                <w:szCs w:val="20"/>
              </w:rPr>
              <w:t>(при страховании имущества, за исключением земельного участка)</w:t>
            </w:r>
            <w:r w:rsidR="0022796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8B4B656" w14:textId="47474B76" w:rsidR="00227967" w:rsidRDefault="00227967" w:rsidP="0024684B">
            <w:pPr>
              <w:pStyle w:val="a6"/>
              <w:tabs>
                <w:tab w:val="left" w:pos="34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3.1. </w:t>
            </w:r>
            <w:r w:rsidRPr="001F3A6B">
              <w:rPr>
                <w:rFonts w:ascii="Arial" w:hAnsi="Arial" w:cs="Arial"/>
                <w:sz w:val="20"/>
                <w:szCs w:val="20"/>
              </w:rPr>
              <w:t>при страховании имущества, за исключением земельного участка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7B43F6" w14:textId="307A2BF9" w:rsidR="00227967" w:rsidRPr="00227967" w:rsidRDefault="00227967" w:rsidP="0024684B">
            <w:pPr>
              <w:pStyle w:val="a6"/>
              <w:tabs>
                <w:tab w:val="left" w:pos="34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27967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Pr="00227967">
              <w:rPr>
                <w:rFonts w:ascii="Arial" w:hAnsi="Arial" w:cs="Arial"/>
                <w:sz w:val="20"/>
                <w:szCs w:val="20"/>
              </w:rPr>
              <w:t>.</w:t>
            </w:r>
            <w:r w:rsidRPr="00227967">
              <w:rPr>
                <w:rFonts w:ascii="Arial" w:hAnsi="Arial" w:cs="Arial"/>
                <w:sz w:val="20"/>
                <w:szCs w:val="20"/>
              </w:rPr>
              <w:tab/>
              <w:t>Использования застрахованного имущества для целей, не соответствующих его назначению либо с нарушением действующего законодательства Российской Федерации и нормативных актов, регламентирующих порядок использования застрахованного имущества, если такое использование стало причиной гибели или повреждения застрахованного имущества.</w:t>
            </w:r>
          </w:p>
          <w:p w14:paraId="0FEB09DD" w14:textId="40DCEC76" w:rsidR="00227967" w:rsidRPr="00227967" w:rsidRDefault="00227967" w:rsidP="0024684B">
            <w:pPr>
              <w:pStyle w:val="a6"/>
              <w:tabs>
                <w:tab w:val="left" w:pos="34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2796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227967">
              <w:rPr>
                <w:rFonts w:ascii="Arial" w:hAnsi="Arial" w:cs="Arial"/>
                <w:sz w:val="20"/>
                <w:szCs w:val="20"/>
              </w:rPr>
              <w:t>2.</w:t>
            </w:r>
            <w:r w:rsidRPr="00227967">
              <w:rPr>
                <w:rFonts w:ascii="Arial" w:hAnsi="Arial" w:cs="Arial"/>
                <w:sz w:val="20"/>
                <w:szCs w:val="20"/>
              </w:rPr>
              <w:tab/>
              <w:t>Проникновения в застрахованное имущество атмосферных осадков через незакрытые окна, двери, и иные отверстия, за исключением случаев, когда такое проникновение стало возможным в результате наступления страхового случая.</w:t>
            </w:r>
          </w:p>
          <w:p w14:paraId="6EDF1B2A" w14:textId="1737FB6A" w:rsidR="00227967" w:rsidRDefault="00227967" w:rsidP="0024684B">
            <w:pPr>
              <w:pStyle w:val="a6"/>
              <w:tabs>
                <w:tab w:val="left" w:pos="34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2796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227967">
              <w:rPr>
                <w:rFonts w:ascii="Arial" w:hAnsi="Arial" w:cs="Arial"/>
                <w:sz w:val="20"/>
                <w:szCs w:val="20"/>
              </w:rPr>
              <w:t>3.</w:t>
            </w:r>
            <w:r w:rsidRPr="00227967">
              <w:rPr>
                <w:rFonts w:ascii="Arial" w:hAnsi="Arial" w:cs="Arial"/>
                <w:sz w:val="20"/>
                <w:szCs w:val="20"/>
              </w:rPr>
              <w:tab/>
              <w:t xml:space="preserve">Нарушения Страхователем правил хранения и обращения с легковоспламеняющимися или </w:t>
            </w:r>
            <w:r w:rsidRPr="00227967">
              <w:rPr>
                <w:rFonts w:ascii="Arial" w:hAnsi="Arial" w:cs="Arial"/>
                <w:sz w:val="20"/>
                <w:szCs w:val="20"/>
              </w:rPr>
              <w:lastRenderedPageBreak/>
              <w:t>горючими жидкостями и взрывчатыми веществами, иными опасными веществами и отходами производства и потребления, если допущенные нарушения явились причиной утраты или повреждения застрахованного имущества.</w:t>
            </w:r>
          </w:p>
          <w:p w14:paraId="0BFC6CE3" w14:textId="0F24712F" w:rsidR="00B026F8" w:rsidRDefault="00227967" w:rsidP="0024684B">
            <w:pPr>
              <w:pStyle w:val="a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3.2. </w:t>
            </w:r>
            <w:r w:rsidR="00B026F8" w:rsidRPr="0024684B">
              <w:rPr>
                <w:rFonts w:ascii="Arial" w:hAnsi="Arial" w:cs="Arial"/>
                <w:sz w:val="20"/>
                <w:szCs w:val="20"/>
              </w:rPr>
              <w:t>при страховании земельного участка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031CB7" w14:textId="2C365DC8" w:rsidR="00227967" w:rsidRPr="0024684B" w:rsidRDefault="00227967" w:rsidP="0024684B">
            <w:pPr>
              <w:pStyle w:val="a6"/>
              <w:tabs>
                <w:tab w:val="left" w:pos="34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3.2.1.</w:t>
            </w:r>
            <w:r w:rsidRPr="0024684B">
              <w:rPr>
                <w:rFonts w:ascii="Arial" w:hAnsi="Arial" w:cs="Arial"/>
                <w:sz w:val="20"/>
                <w:szCs w:val="20"/>
              </w:rPr>
              <w:tab/>
              <w:t>Использования застрахованного имущества для целей, не соответствующих его назначению либо с нарушением действующего законодательства Российской Федерации и нормативных актов, регламентирующих порядок использования застрахованного имущества, если такое использование стало причиной гибели или повреждения застрахованного имущества.</w:t>
            </w:r>
          </w:p>
          <w:p w14:paraId="757280D6" w14:textId="7FA1BD2A" w:rsidR="00185D52" w:rsidRPr="00185D52" w:rsidRDefault="00227967" w:rsidP="007504A3">
            <w:pPr>
              <w:pStyle w:val="a6"/>
              <w:tabs>
                <w:tab w:val="left" w:pos="34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4684B">
              <w:rPr>
                <w:rFonts w:ascii="Arial" w:hAnsi="Arial" w:cs="Arial"/>
                <w:sz w:val="20"/>
                <w:szCs w:val="20"/>
              </w:rPr>
              <w:t>.2.</w:t>
            </w:r>
            <w:r w:rsidRPr="0024684B">
              <w:rPr>
                <w:rFonts w:ascii="Arial" w:hAnsi="Arial" w:cs="Arial"/>
                <w:sz w:val="20"/>
                <w:szCs w:val="20"/>
              </w:rPr>
              <w:tab/>
              <w:t>Нарушения Страхователем правил хранения и обращения с легковоспламеняющимися или горючими жидкостями и взрывчатыми веществами либо пестицидами, агрохимикатами, иными опасными веществами и отходами производства и потребления, если допущенные нарушения явились причиной утраты или повреждения застрахованного имущества.</w:t>
            </w:r>
          </w:p>
        </w:tc>
      </w:tr>
      <w:tr w:rsidR="00087B18" w:rsidRPr="009E0380" w14:paraId="5EAD5B88" w14:textId="77777777" w:rsidTr="006061AB">
        <w:trPr>
          <w:trHeight w:val="397"/>
        </w:trPr>
        <w:tc>
          <w:tcPr>
            <w:tcW w:w="9673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57F32" w14:textId="50EFCA89" w:rsidR="00087B18" w:rsidRPr="0024684B" w:rsidRDefault="00087B18" w:rsidP="008B48F4">
            <w:pPr>
              <w:pStyle w:val="1"/>
              <w:spacing w:before="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5" w:name="sub_1300"/>
            <w:r w:rsidRPr="0024684B">
              <w:rPr>
                <w:rFonts w:ascii="Arial" w:hAnsi="Arial" w:cs="Arial"/>
                <w:sz w:val="20"/>
                <w:szCs w:val="20"/>
              </w:rPr>
              <w:lastRenderedPageBreak/>
              <w:t>Раздел III. ТЕРРИТОРИЯ СТРАХОВАНИЯ</w:t>
            </w:r>
            <w:bookmarkEnd w:id="5"/>
          </w:p>
        </w:tc>
      </w:tr>
      <w:tr w:rsidR="00767FA7" w:rsidRPr="009E0380" w14:paraId="3C48D575" w14:textId="77777777" w:rsidTr="008B48F4">
        <w:trPr>
          <w:trHeight w:val="20"/>
        </w:trPr>
        <w:tc>
          <w:tcPr>
            <w:tcW w:w="9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2395" w14:textId="05C4E24B" w:rsidR="00767FA7" w:rsidRPr="0024684B" w:rsidRDefault="00767FA7" w:rsidP="0024684B">
            <w:pPr>
              <w:pStyle w:val="a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Страхование действует на территории адреса места нахождения застрахованного недвижимого имущества</w:t>
            </w:r>
          </w:p>
        </w:tc>
      </w:tr>
      <w:tr w:rsidR="00932A83" w:rsidRPr="009E0380" w14:paraId="242E9A79" w14:textId="77777777" w:rsidTr="006061AB">
        <w:trPr>
          <w:trHeight w:val="397"/>
        </w:trPr>
        <w:tc>
          <w:tcPr>
            <w:tcW w:w="9673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3CC39" w14:textId="24B4B21A" w:rsidR="00932A83" w:rsidRPr="0024684B" w:rsidRDefault="00932A83" w:rsidP="008B48F4">
            <w:pPr>
              <w:pStyle w:val="1"/>
              <w:spacing w:before="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6" w:name="sub_1400"/>
            <w:r w:rsidRPr="0024684B">
              <w:rPr>
                <w:rFonts w:ascii="Arial" w:hAnsi="Arial" w:cs="Arial"/>
                <w:sz w:val="20"/>
                <w:szCs w:val="20"/>
              </w:rPr>
              <w:t>Раздел IV. КАК ПОЛУЧИТЬ СТРАХОВУЮ ВЫПЛАТУ?</w:t>
            </w:r>
            <w:bookmarkEnd w:id="6"/>
          </w:p>
        </w:tc>
      </w:tr>
      <w:tr w:rsidR="00087B18" w:rsidRPr="009E0380" w14:paraId="5032FADF" w14:textId="77777777" w:rsidTr="008B48F4">
        <w:trPr>
          <w:trHeight w:val="20"/>
        </w:trPr>
        <w:tc>
          <w:tcPr>
            <w:tcW w:w="9673" w:type="dxa"/>
            <w:gridSpan w:val="8"/>
            <w:tcBorders>
              <w:bottom w:val="nil"/>
            </w:tcBorders>
          </w:tcPr>
          <w:p w14:paraId="658BF4DD" w14:textId="3D795A54" w:rsidR="00B41378" w:rsidRDefault="00B41378" w:rsidP="0024684B">
            <w:pPr>
              <w:pStyle w:val="a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378">
              <w:rPr>
                <w:rFonts w:ascii="Arial" w:hAnsi="Arial" w:cs="Arial"/>
                <w:sz w:val="20"/>
                <w:szCs w:val="20"/>
              </w:rPr>
              <w:t>Страховател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B41378">
              <w:rPr>
                <w:rFonts w:ascii="Arial" w:hAnsi="Arial" w:cs="Arial"/>
                <w:sz w:val="20"/>
                <w:szCs w:val="20"/>
              </w:rPr>
              <w:t xml:space="preserve"> (Выгодоприобретател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B41378">
              <w:rPr>
                <w:rFonts w:ascii="Arial" w:hAnsi="Arial" w:cs="Arial"/>
                <w:sz w:val="20"/>
                <w:szCs w:val="20"/>
              </w:rPr>
              <w:t>) после того, как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1378">
              <w:rPr>
                <w:rFonts w:ascii="Arial" w:hAnsi="Arial" w:cs="Arial"/>
                <w:sz w:val="20"/>
                <w:szCs w:val="20"/>
              </w:rPr>
              <w:t xml:space="preserve">стало известно о наступлении события, имеющего признаки страхового случая, </w:t>
            </w:r>
            <w:r>
              <w:rPr>
                <w:rFonts w:ascii="Arial" w:hAnsi="Arial" w:cs="Arial"/>
                <w:sz w:val="20"/>
                <w:szCs w:val="20"/>
              </w:rPr>
              <w:t>обязан н</w:t>
            </w:r>
            <w:r w:rsidRPr="00B41378">
              <w:rPr>
                <w:rFonts w:ascii="Arial" w:hAnsi="Arial" w:cs="Arial"/>
                <w:sz w:val="20"/>
                <w:szCs w:val="20"/>
              </w:rPr>
              <w:t>езамедлительно, но в любом случае не позднее 3 (трех) рабочих дней уведомить Страховщика (его представителя) о его наступлении способом, позволяющим установить текст с указанием отправителя и даты уведомления, после чего следовать письменным указаниям Страховщика, если таковые будут сообщены.</w:t>
            </w:r>
          </w:p>
          <w:p w14:paraId="4651EE62" w14:textId="10A6AEC8" w:rsidR="00087B18" w:rsidRPr="0024684B" w:rsidRDefault="00087B18" w:rsidP="008B48F4">
            <w:pPr>
              <w:pStyle w:val="a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Для получения страховой выплаты (страхового возмещения) требуется представить документы в соответствии с</w:t>
            </w:r>
            <w:r w:rsidR="008D1B71" w:rsidRPr="0024684B">
              <w:rPr>
                <w:rFonts w:ascii="Arial" w:hAnsi="Arial" w:cs="Arial"/>
                <w:sz w:val="20"/>
                <w:szCs w:val="20"/>
              </w:rPr>
              <w:t xml:space="preserve"> разделом 8</w:t>
            </w:r>
            <w:r w:rsidRPr="0024684B">
              <w:rPr>
                <w:rFonts w:ascii="Arial" w:hAnsi="Arial" w:cs="Arial"/>
                <w:sz w:val="20"/>
                <w:szCs w:val="20"/>
              </w:rPr>
              <w:t xml:space="preserve"> Правил.</w:t>
            </w:r>
          </w:p>
        </w:tc>
      </w:tr>
      <w:tr w:rsidR="00087B18" w:rsidRPr="009E0380" w14:paraId="4BB06470" w14:textId="77777777" w:rsidTr="008B48F4">
        <w:trPr>
          <w:trHeight w:val="20"/>
        </w:trPr>
        <w:tc>
          <w:tcPr>
            <w:tcW w:w="9673" w:type="dxa"/>
            <w:gridSpan w:val="8"/>
            <w:tcBorders>
              <w:top w:val="nil"/>
            </w:tcBorders>
          </w:tcPr>
          <w:p w14:paraId="77FD4E43" w14:textId="33DBDDB4" w:rsidR="00087B18" w:rsidRPr="0024684B" w:rsidRDefault="00087B18" w:rsidP="0024684B">
            <w:pPr>
              <w:pStyle w:val="a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Страховая выплата (страховое возмещение) осуществляется в течение 30 (тридцати) календарных дней со дня представления указанных документов</w:t>
            </w:r>
            <w:r w:rsidR="008713F9" w:rsidRPr="0024684B">
              <w:rPr>
                <w:rFonts w:ascii="Arial" w:hAnsi="Arial" w:cs="Arial"/>
                <w:sz w:val="20"/>
                <w:szCs w:val="20"/>
              </w:rPr>
              <w:t xml:space="preserve"> в соответствии с п.8.7.1 Правил</w:t>
            </w:r>
            <w:r w:rsidRPr="002468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7B18" w:rsidRPr="009E0380" w14:paraId="4C636AC0" w14:textId="77777777" w:rsidTr="006061A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6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C5B33" w14:textId="495E2F6C" w:rsidR="00087B18" w:rsidRPr="0024684B" w:rsidRDefault="00087B18" w:rsidP="008B48F4">
            <w:pPr>
              <w:pStyle w:val="1"/>
              <w:spacing w:before="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7" w:name="sub_1500"/>
            <w:r w:rsidRPr="0024684B">
              <w:rPr>
                <w:rFonts w:ascii="Arial" w:hAnsi="Arial" w:cs="Arial"/>
                <w:sz w:val="20"/>
                <w:szCs w:val="20"/>
              </w:rPr>
              <w:t>Раздел V. КАК ВЕРНУТЬ СТРАХОВУЮ ПРЕМИЮ?</w:t>
            </w:r>
            <w:bookmarkEnd w:id="7"/>
          </w:p>
        </w:tc>
      </w:tr>
      <w:tr w:rsidR="00087B18" w:rsidRPr="009E0380" w14:paraId="1351B0C3" w14:textId="77777777" w:rsidTr="008B48F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5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1C92" w14:textId="77777777" w:rsidR="00087B18" w:rsidRPr="0024684B" w:rsidRDefault="00087B18" w:rsidP="008B48F4">
            <w:pPr>
              <w:pStyle w:val="a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84B">
              <w:rPr>
                <w:rFonts w:ascii="Arial" w:hAnsi="Arial" w:cs="Arial"/>
                <w:b/>
                <w:sz w:val="20"/>
                <w:szCs w:val="20"/>
              </w:rPr>
              <w:t>Основания для возврата страховой премии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BD832" w14:textId="77777777" w:rsidR="00087B18" w:rsidRPr="0024684B" w:rsidRDefault="00087B18" w:rsidP="0024684B">
            <w:pPr>
              <w:pStyle w:val="a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84B">
              <w:rPr>
                <w:rFonts w:ascii="Arial" w:hAnsi="Arial" w:cs="Arial"/>
                <w:b/>
                <w:sz w:val="20"/>
                <w:szCs w:val="20"/>
              </w:rPr>
              <w:t>Сумма возврата страховой премии</w:t>
            </w:r>
          </w:p>
        </w:tc>
      </w:tr>
      <w:tr w:rsidR="00B35682" w:rsidRPr="009E0380" w14:paraId="1D70B5B8" w14:textId="77777777" w:rsidTr="008B48F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5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DF7" w14:textId="23AD0FD2" w:rsidR="00B35682" w:rsidRPr="006817AB" w:rsidRDefault="00B35682" w:rsidP="00972368">
            <w:pPr>
              <w:pStyle w:val="a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A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24684B">
              <w:rPr>
                <w:rFonts w:ascii="Arial" w:hAnsi="Arial" w:cs="Arial"/>
                <w:sz w:val="20"/>
                <w:szCs w:val="20"/>
              </w:rPr>
              <w:t xml:space="preserve">Отказ от договора добровольного страхования в течение </w:t>
            </w:r>
            <w:r w:rsidR="00972368">
              <w:rPr>
                <w:rFonts w:ascii="Arial" w:hAnsi="Arial" w:cs="Arial"/>
                <w:sz w:val="20"/>
                <w:szCs w:val="20"/>
              </w:rPr>
              <w:t>30</w:t>
            </w:r>
            <w:r w:rsidR="00972368" w:rsidRPr="00246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684B">
              <w:rPr>
                <w:rFonts w:ascii="Arial" w:hAnsi="Arial" w:cs="Arial"/>
                <w:sz w:val="20"/>
                <w:szCs w:val="20"/>
              </w:rPr>
              <w:t xml:space="preserve">календарных дней со дня его заключения при отсутствии в данном периоде событий, имеющих признаки страхового случая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B6F11" w14:textId="52C26CBA" w:rsidR="00B35682" w:rsidRPr="0024684B" w:rsidRDefault="00B35682" w:rsidP="00B35682">
            <w:pPr>
              <w:pStyle w:val="a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 xml:space="preserve">100% </w:t>
            </w:r>
            <w:r>
              <w:rPr>
                <w:rFonts w:ascii="Arial" w:hAnsi="Arial" w:cs="Arial"/>
                <w:sz w:val="20"/>
                <w:szCs w:val="20"/>
              </w:rPr>
              <w:t xml:space="preserve">уплаченной </w:t>
            </w:r>
            <w:r w:rsidRPr="0024684B">
              <w:rPr>
                <w:rFonts w:ascii="Arial" w:hAnsi="Arial" w:cs="Arial"/>
                <w:sz w:val="20"/>
                <w:szCs w:val="20"/>
              </w:rPr>
              <w:t>страховой премии</w:t>
            </w:r>
          </w:p>
        </w:tc>
      </w:tr>
      <w:tr w:rsidR="00F53EA3" w:rsidRPr="009E0380" w14:paraId="171A2FC2" w14:textId="77777777" w:rsidTr="008B48F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5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25D2" w14:textId="6B90CCBB" w:rsidR="00F53EA3" w:rsidRPr="006817AB" w:rsidRDefault="006817AB" w:rsidP="0024684B">
            <w:pPr>
              <w:pStyle w:val="a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A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53EA3" w:rsidRPr="0024684B">
              <w:rPr>
                <w:rFonts w:ascii="Arial" w:hAnsi="Arial" w:cs="Arial"/>
                <w:sz w:val="20"/>
                <w:szCs w:val="20"/>
              </w:rPr>
              <w:t>Отказ от страхования в случае непредоставления, предоставления неполной или недостоверной информации</w:t>
            </w:r>
            <w:r w:rsidR="00F53EA3" w:rsidRPr="0024684B">
              <w:rPr>
                <w:rStyle w:val="af4"/>
                <w:rFonts w:ascii="Arial" w:hAnsi="Arial" w:cs="Arial"/>
                <w:iCs/>
                <w:sz w:val="20"/>
                <w:szCs w:val="20"/>
              </w:rPr>
              <w:footnoteReference w:id="1"/>
            </w:r>
            <w:r w:rsidR="008B48F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F53EA3" w:rsidRPr="0024684B">
              <w:rPr>
                <w:rFonts w:ascii="Arial" w:hAnsi="Arial" w:cs="Arial"/>
                <w:sz w:val="20"/>
                <w:szCs w:val="20"/>
              </w:rPr>
              <w:t xml:space="preserve">о договоре страхования при отсутствии в </w:t>
            </w:r>
            <w:r w:rsidR="00B026F8">
              <w:rPr>
                <w:rFonts w:ascii="Arial" w:hAnsi="Arial" w:cs="Arial"/>
                <w:sz w:val="20"/>
                <w:szCs w:val="20"/>
              </w:rPr>
              <w:t xml:space="preserve">оплаченном периоде </w:t>
            </w:r>
            <w:r w:rsidR="00F53EA3" w:rsidRPr="0024684B">
              <w:rPr>
                <w:rFonts w:ascii="Arial" w:hAnsi="Arial" w:cs="Arial"/>
                <w:sz w:val="20"/>
                <w:szCs w:val="20"/>
              </w:rPr>
              <w:t>страхования событий, имеющих признаки страхового случая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CF91D3" w14:textId="073D3672" w:rsidR="00F53EA3" w:rsidRPr="0024684B" w:rsidRDefault="00F53EA3" w:rsidP="0024684B">
            <w:pPr>
              <w:pStyle w:val="a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100%</w:t>
            </w:r>
            <w:r w:rsidR="00A75562">
              <w:rPr>
                <w:rFonts w:ascii="Arial" w:hAnsi="Arial" w:cs="Arial"/>
                <w:sz w:val="20"/>
                <w:szCs w:val="20"/>
              </w:rPr>
              <w:t xml:space="preserve"> уплаченной</w:t>
            </w:r>
            <w:r w:rsidRPr="0024684B">
              <w:rPr>
                <w:rFonts w:ascii="Arial" w:hAnsi="Arial" w:cs="Arial"/>
                <w:sz w:val="20"/>
                <w:szCs w:val="20"/>
              </w:rPr>
              <w:t xml:space="preserve"> страховой премии за вычетом части страховой премии, исчисляемой пропорционально времени, в течение которого действовало страхование</w:t>
            </w:r>
          </w:p>
        </w:tc>
      </w:tr>
      <w:tr w:rsidR="00F53EA3" w:rsidRPr="009E0380" w14:paraId="554A3AC1" w14:textId="77777777" w:rsidTr="008B48F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5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CF5" w14:textId="0CF30241" w:rsidR="00F53EA3" w:rsidRPr="0024684B" w:rsidRDefault="006817AB" w:rsidP="0024684B">
            <w:pPr>
              <w:pStyle w:val="a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A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B026F8" w:rsidRPr="0024684B">
              <w:rPr>
                <w:rFonts w:ascii="Arial" w:hAnsi="Arial" w:cs="Arial"/>
                <w:sz w:val="20"/>
                <w:szCs w:val="20"/>
              </w:rPr>
              <w:t>Прекращение договора страхования в случае полного досрочного погашения кредита, при отсутствии событий, имеющих признаки страхового случая</w:t>
            </w:r>
          </w:p>
        </w:tc>
        <w:tc>
          <w:tcPr>
            <w:tcW w:w="2621" w:type="dxa"/>
            <w:vMerge/>
            <w:tcBorders>
              <w:left w:val="single" w:sz="4" w:space="0" w:color="auto"/>
            </w:tcBorders>
          </w:tcPr>
          <w:p w14:paraId="2B938461" w14:textId="77777777" w:rsidR="00F53EA3" w:rsidRPr="0024684B" w:rsidRDefault="00F53EA3" w:rsidP="0024684B">
            <w:pPr>
              <w:pStyle w:val="a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EA3" w:rsidRPr="009E0380" w14:paraId="27074560" w14:textId="77777777" w:rsidTr="008B48F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5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11D5" w14:textId="089B22EF" w:rsidR="00F53EA3" w:rsidRPr="0024684B" w:rsidRDefault="006817AB" w:rsidP="0024684B">
            <w:pPr>
              <w:pStyle w:val="a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AB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A75562">
              <w:rPr>
                <w:rFonts w:ascii="Arial" w:hAnsi="Arial" w:cs="Arial"/>
                <w:sz w:val="20"/>
                <w:szCs w:val="20"/>
              </w:rPr>
              <w:t>Прекращение</w:t>
            </w:r>
            <w:r w:rsidR="00F53EA3" w:rsidRPr="0024684B">
              <w:rPr>
                <w:rFonts w:ascii="Arial" w:hAnsi="Arial" w:cs="Arial"/>
                <w:sz w:val="20"/>
                <w:szCs w:val="20"/>
              </w:rPr>
              <w:t xml:space="preserve"> договора страхования, если после вступления договора страхования в силу возможность наступления страхового случая отпала, и существование страхового риска прекратилось по обстоятельствам иным, чем страховой случай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F701A8" w14:textId="77777777" w:rsidR="00F53EA3" w:rsidRPr="0024684B" w:rsidRDefault="00F53EA3" w:rsidP="0024684B">
            <w:pPr>
              <w:pStyle w:val="a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B18" w:rsidRPr="009E0380" w14:paraId="39BAADD3" w14:textId="77777777" w:rsidTr="008B48F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7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2A6F2BA" w14:textId="77777777" w:rsidR="00087B18" w:rsidRPr="0024684B" w:rsidRDefault="00087B18" w:rsidP="0024684B">
            <w:pPr>
              <w:pStyle w:val="a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В иных случаях страховая премия возврату не подлежит.</w:t>
            </w:r>
          </w:p>
        </w:tc>
      </w:tr>
      <w:tr w:rsidR="00087B18" w:rsidRPr="009E0380" w14:paraId="2C7700D6" w14:textId="77777777" w:rsidTr="008B48F4">
        <w:trPr>
          <w:trHeight w:val="20"/>
        </w:trPr>
        <w:tc>
          <w:tcPr>
            <w:tcW w:w="9673" w:type="dxa"/>
            <w:gridSpan w:val="8"/>
          </w:tcPr>
          <w:p w14:paraId="4C95DE1E" w14:textId="05A9F797" w:rsidR="00087B18" w:rsidRPr="0024684B" w:rsidRDefault="00087B18" w:rsidP="0024684B">
            <w:pPr>
              <w:pStyle w:val="a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Возврат страховой премии осуществляется в течение 7 (семи) рабочих дней со дня получения соответствующего заявления</w:t>
            </w:r>
            <w:r w:rsidR="00A75562" w:rsidRPr="00A75562">
              <w:rPr>
                <w:rFonts w:ascii="Arial" w:hAnsi="Arial" w:cs="Arial"/>
                <w:sz w:val="20"/>
                <w:szCs w:val="20"/>
              </w:rPr>
              <w:t>, а в случаях, указанных в п.п. 3, 4 настоящего раздела, - также документов, подтверждающих основания для возврата страховой премии (ее части)</w:t>
            </w:r>
            <w:r w:rsidRPr="002468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7B18" w:rsidRPr="009E0380" w14:paraId="59A3A30B" w14:textId="77777777" w:rsidTr="006061AB">
        <w:trPr>
          <w:trHeight w:val="397"/>
        </w:trPr>
        <w:tc>
          <w:tcPr>
            <w:tcW w:w="9673" w:type="dxa"/>
            <w:gridSpan w:val="8"/>
            <w:shd w:val="clear" w:color="auto" w:fill="F2F2F2" w:themeFill="background1" w:themeFillShade="F2"/>
            <w:vAlign w:val="center"/>
          </w:tcPr>
          <w:p w14:paraId="690AAD34" w14:textId="45E669F7" w:rsidR="00087B18" w:rsidRPr="0024684B" w:rsidRDefault="00087B18" w:rsidP="005D147B">
            <w:pPr>
              <w:pStyle w:val="1"/>
              <w:spacing w:before="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8" w:name="sub_1600"/>
            <w:r w:rsidRPr="0024684B">
              <w:rPr>
                <w:rFonts w:ascii="Arial" w:hAnsi="Arial" w:cs="Arial"/>
                <w:sz w:val="20"/>
                <w:szCs w:val="20"/>
              </w:rPr>
              <w:t>Раздел VI. КАК УРЕГУЛИРОВАТЬ СПОР ДО СУДА?</w:t>
            </w:r>
            <w:bookmarkEnd w:id="8"/>
          </w:p>
        </w:tc>
      </w:tr>
      <w:tr w:rsidR="00087B18" w:rsidRPr="009E0380" w14:paraId="202DCD4F" w14:textId="77777777" w:rsidTr="008B48F4">
        <w:trPr>
          <w:trHeight w:val="20"/>
        </w:trPr>
        <w:tc>
          <w:tcPr>
            <w:tcW w:w="9673" w:type="dxa"/>
            <w:gridSpan w:val="8"/>
          </w:tcPr>
          <w:p w14:paraId="75B2C033" w14:textId="77777777" w:rsidR="00087B18" w:rsidRPr="0024684B" w:rsidRDefault="00087B18" w:rsidP="0024684B">
            <w:pPr>
              <w:pStyle w:val="a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Направить страховщику заявление (претензию) в письменной форме.</w:t>
            </w:r>
          </w:p>
          <w:p w14:paraId="6584513F" w14:textId="4C253DD0" w:rsidR="00087B18" w:rsidRPr="0024684B" w:rsidRDefault="00087B18" w:rsidP="0024684B">
            <w:pPr>
              <w:pStyle w:val="a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684B">
              <w:rPr>
                <w:rFonts w:ascii="Arial" w:hAnsi="Arial" w:cs="Arial"/>
                <w:sz w:val="20"/>
                <w:szCs w:val="20"/>
              </w:rPr>
              <w:t>В случае если страховщик не удовлетворил заявление (претензию) и при этом размер требований не превышает 500 000</w:t>
            </w:r>
            <w:r w:rsidR="00147EA5" w:rsidRPr="0024684B">
              <w:rPr>
                <w:rFonts w:ascii="Arial" w:hAnsi="Arial" w:cs="Arial"/>
                <w:sz w:val="20"/>
                <w:szCs w:val="20"/>
              </w:rPr>
              <w:t>,00</w:t>
            </w:r>
            <w:r w:rsidRPr="0024684B">
              <w:rPr>
                <w:rFonts w:ascii="Arial" w:hAnsi="Arial" w:cs="Arial"/>
                <w:sz w:val="20"/>
                <w:szCs w:val="20"/>
              </w:rPr>
              <w:t xml:space="preserve"> рублей, до обращения в суд необходимо обратиться к уполномоченному по правам потребителей финансовых услуг (сайт: </w:t>
            </w:r>
            <w:hyperlink r:id="rId8" w:history="1">
              <w:r w:rsidRPr="0024684B">
                <w:rPr>
                  <w:rStyle w:val="ad"/>
                  <w:rFonts w:ascii="Arial" w:hAnsi="Arial" w:cs="Arial"/>
                  <w:sz w:val="20"/>
                  <w:szCs w:val="20"/>
                </w:rPr>
                <w:t>www.finombudsman.ru</w:t>
              </w:r>
            </w:hyperlink>
            <w:r w:rsidRPr="0024684B">
              <w:rPr>
                <w:rFonts w:ascii="Arial" w:hAnsi="Arial" w:cs="Arial"/>
                <w:sz w:val="20"/>
                <w:szCs w:val="20"/>
              </w:rPr>
              <w:t>; адрес: 119017, г. Москва, Старомонетный пер., дом 3). Рассмотрение уполномоченным по правам потребителей финансовых услуг обращения потребителя финансовых услуг осуществляется бесплатно.</w:t>
            </w:r>
          </w:p>
        </w:tc>
      </w:tr>
    </w:tbl>
    <w:p w14:paraId="03C56DD3" w14:textId="77777777" w:rsidR="0078763B" w:rsidRPr="0024684B" w:rsidRDefault="0078763B" w:rsidP="0024684B">
      <w:pPr>
        <w:ind w:firstLine="0"/>
        <w:contextualSpacing/>
        <w:rPr>
          <w:rFonts w:ascii="Arial" w:hAnsi="Arial" w:cs="Arial"/>
          <w:sz w:val="20"/>
          <w:szCs w:val="20"/>
        </w:rPr>
      </w:pPr>
    </w:p>
    <w:sectPr w:rsidR="0078763B" w:rsidRPr="0024684B" w:rsidSect="006F420B">
      <w:headerReference w:type="default" r:id="rId9"/>
      <w:footerReference w:type="default" r:id="rId10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374B3" w14:textId="77777777" w:rsidR="00866F6D" w:rsidRDefault="00866F6D" w:rsidP="00F53EA3">
      <w:r>
        <w:separator/>
      </w:r>
    </w:p>
  </w:endnote>
  <w:endnote w:type="continuationSeparator" w:id="0">
    <w:p w14:paraId="7B817D02" w14:textId="77777777" w:rsidR="00866F6D" w:rsidRDefault="00866F6D" w:rsidP="00F5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2959B" w14:textId="58F8E963" w:rsidR="00673B71" w:rsidRDefault="00673B71" w:rsidP="008B48F4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C0B96" w14:textId="77777777" w:rsidR="00866F6D" w:rsidRDefault="00866F6D" w:rsidP="00F53EA3">
      <w:r>
        <w:separator/>
      </w:r>
    </w:p>
  </w:footnote>
  <w:footnote w:type="continuationSeparator" w:id="0">
    <w:p w14:paraId="0477911E" w14:textId="77777777" w:rsidR="00866F6D" w:rsidRDefault="00866F6D" w:rsidP="00F53EA3">
      <w:r>
        <w:continuationSeparator/>
      </w:r>
    </w:p>
  </w:footnote>
  <w:footnote w:id="1">
    <w:p w14:paraId="6415C2A7" w14:textId="77777777" w:rsidR="00F53EA3" w:rsidRDefault="00F53EA3" w:rsidP="00F53EA3">
      <w:pPr>
        <w:pStyle w:val="af2"/>
      </w:pPr>
      <w:r w:rsidRPr="00105B50">
        <w:rPr>
          <w:rStyle w:val="af4"/>
          <w:rFonts w:ascii="Times New Roman" w:hAnsi="Times New Roman"/>
          <w:sz w:val="17"/>
          <w:szCs w:val="17"/>
        </w:rPr>
        <w:footnoteRef/>
      </w:r>
      <w:r w:rsidRPr="00105B50">
        <w:rPr>
          <w:rFonts w:ascii="Times New Roman" w:hAnsi="Times New Roman"/>
          <w:sz w:val="17"/>
          <w:szCs w:val="17"/>
        </w:rPr>
        <w:t xml:space="preserve"> </w:t>
      </w:r>
      <w:r w:rsidRPr="009159D3">
        <w:rPr>
          <w:rFonts w:ascii="Arial" w:hAnsi="Arial" w:cs="Arial"/>
          <w:sz w:val="17"/>
          <w:szCs w:val="17"/>
        </w:rPr>
        <w:t xml:space="preserve">Требования Банка России о предоставлении информации применяются в редакции </w:t>
      </w:r>
      <w:r>
        <w:rPr>
          <w:rFonts w:ascii="Arial" w:hAnsi="Arial" w:cs="Arial"/>
          <w:sz w:val="17"/>
          <w:szCs w:val="17"/>
        </w:rPr>
        <w:t>У</w:t>
      </w:r>
      <w:r w:rsidRPr="009159D3">
        <w:rPr>
          <w:rFonts w:ascii="Arial" w:hAnsi="Arial" w:cs="Arial"/>
          <w:sz w:val="17"/>
          <w:szCs w:val="17"/>
        </w:rPr>
        <w:t>казания Банка России, действующего на дату заключения договора страхования.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677198"/>
      <w:docPartObj>
        <w:docPartGallery w:val="Page Numbers (Top of Page)"/>
        <w:docPartUnique/>
      </w:docPartObj>
    </w:sdtPr>
    <w:sdtEndPr/>
    <w:sdtContent>
      <w:p w14:paraId="46BE5080" w14:textId="6074E36B" w:rsidR="006F420B" w:rsidRDefault="006F420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AAA">
          <w:rPr>
            <w:noProof/>
          </w:rPr>
          <w:t>2</w:t>
        </w:r>
        <w:r>
          <w:fldChar w:fldCharType="end"/>
        </w:r>
      </w:p>
    </w:sdtContent>
  </w:sdt>
  <w:p w14:paraId="0FCF5C1E" w14:textId="77777777" w:rsidR="006F420B" w:rsidRDefault="006F420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62"/>
    <w:multiLevelType w:val="hybridMultilevel"/>
    <w:tmpl w:val="E96A206C"/>
    <w:lvl w:ilvl="0" w:tplc="D456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0808"/>
    <w:multiLevelType w:val="hybridMultilevel"/>
    <w:tmpl w:val="A468A1C0"/>
    <w:lvl w:ilvl="0" w:tplc="62F24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A4602"/>
    <w:multiLevelType w:val="multilevel"/>
    <w:tmpl w:val="D7E85BB6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bullet"/>
      <w:lvlText w:val=""/>
      <w:lvlJc w:val="left"/>
      <w:pPr>
        <w:ind w:left="3000" w:hanging="1440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5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cs="Times New Roman" w:hint="default"/>
      </w:rPr>
    </w:lvl>
  </w:abstractNum>
  <w:abstractNum w:abstractNumId="3" w15:restartNumberingAfterBreak="0">
    <w:nsid w:val="582975EE"/>
    <w:multiLevelType w:val="multilevel"/>
    <w:tmpl w:val="9154AA36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4" w15:restartNumberingAfterBreak="0">
    <w:nsid w:val="5CA72C00"/>
    <w:multiLevelType w:val="hybridMultilevel"/>
    <w:tmpl w:val="4B7C59A2"/>
    <w:lvl w:ilvl="0" w:tplc="62F2496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EAD6B0D"/>
    <w:multiLevelType w:val="hybridMultilevel"/>
    <w:tmpl w:val="9C70F652"/>
    <w:lvl w:ilvl="0" w:tplc="62F24960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 w15:restartNumberingAfterBreak="0">
    <w:nsid w:val="78F34295"/>
    <w:multiLevelType w:val="hybridMultilevel"/>
    <w:tmpl w:val="038449FC"/>
    <w:lvl w:ilvl="0" w:tplc="62F24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1"/>
    <w:rsid w:val="00024871"/>
    <w:rsid w:val="000417D6"/>
    <w:rsid w:val="00046CB8"/>
    <w:rsid w:val="00087B18"/>
    <w:rsid w:val="000969D7"/>
    <w:rsid w:val="000D7213"/>
    <w:rsid w:val="001134A1"/>
    <w:rsid w:val="00134781"/>
    <w:rsid w:val="00147EA5"/>
    <w:rsid w:val="00185D52"/>
    <w:rsid w:val="00195837"/>
    <w:rsid w:val="001F34EF"/>
    <w:rsid w:val="0022246C"/>
    <w:rsid w:val="00227967"/>
    <w:rsid w:val="0024684B"/>
    <w:rsid w:val="00250E7C"/>
    <w:rsid w:val="0029768D"/>
    <w:rsid w:val="002F20AE"/>
    <w:rsid w:val="003111E1"/>
    <w:rsid w:val="0035024E"/>
    <w:rsid w:val="003704CD"/>
    <w:rsid w:val="003F4D2D"/>
    <w:rsid w:val="00493FD0"/>
    <w:rsid w:val="004C0B1B"/>
    <w:rsid w:val="0051081A"/>
    <w:rsid w:val="00542B71"/>
    <w:rsid w:val="00566F77"/>
    <w:rsid w:val="005B4B0F"/>
    <w:rsid w:val="005D147B"/>
    <w:rsid w:val="006061AB"/>
    <w:rsid w:val="00627C3E"/>
    <w:rsid w:val="00656D02"/>
    <w:rsid w:val="00673B71"/>
    <w:rsid w:val="006817AB"/>
    <w:rsid w:val="0068207C"/>
    <w:rsid w:val="006C65FC"/>
    <w:rsid w:val="006F420B"/>
    <w:rsid w:val="0074650E"/>
    <w:rsid w:val="007504A3"/>
    <w:rsid w:val="00754AAA"/>
    <w:rsid w:val="00764226"/>
    <w:rsid w:val="007667CF"/>
    <w:rsid w:val="00767FA7"/>
    <w:rsid w:val="0078763B"/>
    <w:rsid w:val="007D2BF5"/>
    <w:rsid w:val="00866F6D"/>
    <w:rsid w:val="008713F9"/>
    <w:rsid w:val="008B48F4"/>
    <w:rsid w:val="008D1B71"/>
    <w:rsid w:val="008F695A"/>
    <w:rsid w:val="00901E6D"/>
    <w:rsid w:val="00932A83"/>
    <w:rsid w:val="00972368"/>
    <w:rsid w:val="009929E7"/>
    <w:rsid w:val="009D4E6B"/>
    <w:rsid w:val="009E0380"/>
    <w:rsid w:val="00A07410"/>
    <w:rsid w:val="00A31DE4"/>
    <w:rsid w:val="00A71787"/>
    <w:rsid w:val="00A75562"/>
    <w:rsid w:val="00AD1611"/>
    <w:rsid w:val="00AD4FD1"/>
    <w:rsid w:val="00AF0AD1"/>
    <w:rsid w:val="00AF0D8B"/>
    <w:rsid w:val="00B026F8"/>
    <w:rsid w:val="00B35682"/>
    <w:rsid w:val="00B41378"/>
    <w:rsid w:val="00B552EA"/>
    <w:rsid w:val="00B56486"/>
    <w:rsid w:val="00BA258F"/>
    <w:rsid w:val="00C05255"/>
    <w:rsid w:val="00C52051"/>
    <w:rsid w:val="00C63CE3"/>
    <w:rsid w:val="00C8164C"/>
    <w:rsid w:val="00CA5CC2"/>
    <w:rsid w:val="00D03D2A"/>
    <w:rsid w:val="00D238D6"/>
    <w:rsid w:val="00D35952"/>
    <w:rsid w:val="00D36AC3"/>
    <w:rsid w:val="00D64797"/>
    <w:rsid w:val="00E00E1C"/>
    <w:rsid w:val="00E21C23"/>
    <w:rsid w:val="00E34B6E"/>
    <w:rsid w:val="00E719BF"/>
    <w:rsid w:val="00E8635F"/>
    <w:rsid w:val="00EB61C0"/>
    <w:rsid w:val="00ED34BF"/>
    <w:rsid w:val="00F37E1D"/>
    <w:rsid w:val="00F53EA3"/>
    <w:rsid w:val="00F9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A303"/>
  <w15:chartTrackingRefBased/>
  <w15:docId w15:val="{598972AC-A053-4262-A2D7-3482BCA9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B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7B1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7B1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87B18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87B18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087B18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087B18"/>
    <w:pPr>
      <w:ind w:firstLine="0"/>
      <w:jc w:val="left"/>
    </w:pPr>
  </w:style>
  <w:style w:type="paragraph" w:customStyle="1" w:styleId="a7">
    <w:name w:val="Сноска"/>
    <w:basedOn w:val="a"/>
    <w:next w:val="a"/>
    <w:uiPriority w:val="99"/>
    <w:rsid w:val="00087B18"/>
    <w:rPr>
      <w:sz w:val="20"/>
      <w:szCs w:val="20"/>
    </w:rPr>
  </w:style>
  <w:style w:type="paragraph" w:styleId="a8">
    <w:name w:val="List Paragraph"/>
    <w:aliases w:val="Абзац маркированнный,1,UL,Содержание. 2 уровень,Bullet List,FooterText,numbered,Paragraphe de liste1,lp1,Bullet Number,Нумерованый список,Маркер,название,Обычный список,СпБезКС,RDTEX. Абзац списка,Table-Normal,Предусловия,1. Абзац списка"/>
    <w:basedOn w:val="a"/>
    <w:link w:val="a9"/>
    <w:uiPriority w:val="34"/>
    <w:qFormat/>
    <w:rsid w:val="00087B1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a9">
    <w:name w:val="Абзац списка Знак"/>
    <w:aliases w:val="Абзац маркированнный Знак,1 Знак,UL Знак,Содержание. 2 уровень Знак,Bullet List Знак,FooterText Знак,numbered Знак,Paragraphe de liste1 Знак,lp1 Знак,Bullet Number Знак,Нумерованый список Знак,Маркер Знак,название Знак,СпБезКС Знак"/>
    <w:basedOn w:val="a0"/>
    <w:link w:val="a8"/>
    <w:uiPriority w:val="34"/>
    <w:locked/>
    <w:rsid w:val="00087B18"/>
    <w:rPr>
      <w:rFonts w:ascii="Times New Roman" w:hAnsi="Times New Roman"/>
      <w:sz w:val="24"/>
    </w:rPr>
  </w:style>
  <w:style w:type="character" w:styleId="aa">
    <w:name w:val="annotation reference"/>
    <w:basedOn w:val="a0"/>
    <w:uiPriority w:val="99"/>
    <w:unhideWhenUsed/>
    <w:qFormat/>
    <w:rsid w:val="00087B1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87B1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87B18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87B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87B1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87B18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87B1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7B18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D36AC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D36AC3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F53EA3"/>
    <w:pPr>
      <w:widowControl/>
      <w:autoSpaceDE/>
      <w:autoSpaceDN/>
      <w:adjustRightInd/>
      <w:ind w:firstLine="0"/>
      <w:jc w:val="left"/>
    </w:pPr>
    <w:rPr>
      <w:rFonts w:asciiTheme="minorHAnsi" w:hAnsiTheme="minorHAns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F53EA3"/>
    <w:rPr>
      <w:rFonts w:eastAsiaTheme="minorEastAsia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unhideWhenUsed/>
    <w:rsid w:val="00F53EA3"/>
    <w:rPr>
      <w:vertAlign w:val="superscript"/>
    </w:rPr>
  </w:style>
  <w:style w:type="paragraph" w:styleId="af5">
    <w:name w:val="Revision"/>
    <w:hidden/>
    <w:uiPriority w:val="99"/>
    <w:semiHidden/>
    <w:rsid w:val="00250E7C"/>
    <w:pPr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673B7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73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673B7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73B71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ombudsm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"Банк ДОМ.РФ"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Людмила Владимировна</dc:creator>
  <cp:keywords/>
  <dc:description/>
  <cp:lastModifiedBy>Струнин Алексей Михайлович</cp:lastModifiedBy>
  <cp:revision>15</cp:revision>
  <dcterms:created xsi:type="dcterms:W3CDTF">2023-10-25T07:23:00Z</dcterms:created>
  <dcterms:modified xsi:type="dcterms:W3CDTF">2024-05-21T14:26:00Z</dcterms:modified>
</cp:coreProperties>
</file>